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14e4" w14:textId="2801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Министра энергетики Республики Казахстан от 30 апреля 2021 года № 161 "Об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w:t>
      </w:r>
    </w:p>
    <w:p>
      <w:pPr>
        <w:spacing w:after="0"/>
        <w:ind w:left="0"/>
        <w:jc w:val="both"/>
      </w:pPr>
      <w:r>
        <w:rPr>
          <w:rFonts w:ascii="Times New Roman"/>
          <w:b w:val="false"/>
          <w:i w:val="false"/>
          <w:color w:val="000000"/>
          <w:sz w:val="28"/>
        </w:rPr>
        <w:t>Приказ Министра энергетики Республики Казахстан от 12 июня 2025 года № 236-н/қ. Зарегистрирован в Министерстве юстиции Республики Казахстан 16 июня 2025 года № 36274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энергетики Республики Казахстан от 30 апреля 2021 года № 161 "Об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 (зарегистрирован в Реестре государственной регистрации нормативных правовых актов под № 22727)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"4) односторонний аукцион – форма организации аукционных торгов, направленная на определение победителя и претендента на победителя (далее – претендент), путем последовательного отбора заявок участников аукционных торгов из ранжированного списка участников аукционных торгов;";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"6. На аукционных торгах единым закупщиком закупается объем услуги по поддержанию готовности электрической мощности.</w:t>
      </w:r>
    </w:p>
    <w:bookmarkEnd w:id="5"/>
    <w:bookmarkStart w:name="z11" w:id="6"/>
    <w:p>
      <w:pPr>
        <w:spacing w:after="0"/>
        <w:ind w:left="0"/>
        <w:jc w:val="both"/>
      </w:pPr>
      <w:r>
        <w:rPr>
          <w:rFonts w:ascii="Times New Roman"/>
          <w:b w:val="false"/>
          <w:i w:val="false"/>
          <w:color w:val="000000"/>
          <w:sz w:val="28"/>
        </w:rPr>
        <w:t>
      Объем услуги по поддержанию готовности электрической мощности, закупаемый на аукционных торгах соответствующего года, выставляется на данные аукционные торги по значению равным или не превышающим (меньше) Базы, скорректированной на долю нагрузки ЕЭС РК, приходящуюся на потребителей, не входящих в Реестр групп лиц, в зависимости от сроков ввода в эксплуатацию регулировочных генерирующих установок с маневренным режимом генерации, определенных уполномоченным органом.</w:t>
      </w:r>
    </w:p>
    <w:bookmarkEnd w:id="6"/>
    <w:bookmarkStart w:name="z12" w:id="7"/>
    <w:p>
      <w:pPr>
        <w:spacing w:after="0"/>
        <w:ind w:left="0"/>
        <w:jc w:val="both"/>
      </w:pPr>
      <w:r>
        <w:rPr>
          <w:rFonts w:ascii="Times New Roman"/>
          <w:b w:val="false"/>
          <w:i w:val="false"/>
          <w:color w:val="000000"/>
          <w:sz w:val="28"/>
        </w:rPr>
        <w:t>
      Если объем услуги по поддержанию готовности электрической мощности Второго и (или) Третьего видов аукционных торгов не отобран полностью по итогам данных аукционных торгов, то соответствующий не отобранный объем услуги по поддержанию готовности электрической мощности подлежит дополнению к объему услуги по поддержанию готовности электрической мощности, указанному в Графике следующих аукционных торгов по данным видам, соответственно.";</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новой редакции:</w:t>
      </w:r>
    </w:p>
    <w:bookmarkStart w:name="z14" w:id="8"/>
    <w:p>
      <w:pPr>
        <w:spacing w:after="0"/>
        <w:ind w:left="0"/>
        <w:jc w:val="both"/>
      </w:pPr>
      <w:r>
        <w:rPr>
          <w:rFonts w:ascii="Times New Roman"/>
          <w:b w:val="false"/>
          <w:i w:val="false"/>
          <w:color w:val="000000"/>
          <w:sz w:val="28"/>
        </w:rPr>
        <w:t>
      "29. Решение комиссии принимается голосованием и считается принятым, если за него подано большинство голосов от общего количества членов комиссии. При равенстве голосов принятым считается решение, за которое проголосовал председатель комиссии.</w:t>
      </w:r>
    </w:p>
    <w:bookmarkEnd w:id="8"/>
    <w:bookmarkStart w:name="z15" w:id="9"/>
    <w:p>
      <w:pPr>
        <w:spacing w:after="0"/>
        <w:ind w:left="0"/>
        <w:jc w:val="both"/>
      </w:pPr>
      <w:r>
        <w:rPr>
          <w:rFonts w:ascii="Times New Roman"/>
          <w:b w:val="false"/>
          <w:i w:val="false"/>
          <w:color w:val="000000"/>
          <w:sz w:val="28"/>
        </w:rPr>
        <w:t>
      При наличии возражений к решению комиссии, член комиссии выражает в письменном виде особое мнение, прилагаемое к решению комиссии.</w:t>
      </w:r>
    </w:p>
    <w:bookmarkEnd w:id="9"/>
    <w:bookmarkStart w:name="z16" w:id="10"/>
    <w:p>
      <w:pPr>
        <w:spacing w:after="0"/>
        <w:ind w:left="0"/>
        <w:jc w:val="both"/>
      </w:pPr>
      <w:r>
        <w:rPr>
          <w:rFonts w:ascii="Times New Roman"/>
          <w:b w:val="false"/>
          <w:i w:val="false"/>
          <w:color w:val="000000"/>
          <w:sz w:val="28"/>
        </w:rPr>
        <w:t>
      Особое мнение заявляется и формируется непосредственно в ходе заседания комиссии. Текст особого мнения члена комиссии предоставляется Секретарю комиссии не позднее 18:00 часов по времени города Астаны следующего рабочего дня за заседанием комиссии.</w:t>
      </w:r>
    </w:p>
    <w:bookmarkEnd w:id="10"/>
    <w:bookmarkStart w:name="z17" w:id="11"/>
    <w:p>
      <w:pPr>
        <w:spacing w:after="0"/>
        <w:ind w:left="0"/>
        <w:jc w:val="both"/>
      </w:pPr>
      <w:r>
        <w:rPr>
          <w:rFonts w:ascii="Times New Roman"/>
          <w:b w:val="false"/>
          <w:i w:val="false"/>
          <w:color w:val="000000"/>
          <w:sz w:val="28"/>
        </w:rPr>
        <w:t>
      Секретарь комиссии указывает о наличии особого мнения члена комиссии и дату его предоставления при формировании решения комиссии.";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новой редакции:</w:t>
      </w:r>
    </w:p>
    <w:bookmarkStart w:name="z19" w:id="12"/>
    <w:p>
      <w:pPr>
        <w:spacing w:after="0"/>
        <w:ind w:left="0"/>
        <w:jc w:val="both"/>
      </w:pPr>
      <w:r>
        <w:rPr>
          <w:rFonts w:ascii="Times New Roman"/>
          <w:b w:val="false"/>
          <w:i w:val="false"/>
          <w:color w:val="000000"/>
          <w:sz w:val="28"/>
        </w:rPr>
        <w:t>
      "53. Документация Третьего вида аукционных торгов готовится с учетом:</w:t>
      </w:r>
    </w:p>
    <w:bookmarkEnd w:id="12"/>
    <w:bookmarkStart w:name="z20" w:id="13"/>
    <w:p>
      <w:pPr>
        <w:spacing w:after="0"/>
        <w:ind w:left="0"/>
        <w:jc w:val="both"/>
      </w:pPr>
      <w:r>
        <w:rPr>
          <w:rFonts w:ascii="Times New Roman"/>
          <w:b w:val="false"/>
          <w:i w:val="false"/>
          <w:color w:val="000000"/>
          <w:sz w:val="28"/>
        </w:rPr>
        <w:t>
      1) прогнозного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рассчитанного по предварительным ТЭО аналогичных проектов и (или) результатам аукционных торгов по аналогичным проектам, проведенным в соответствии с Первым видом аукционных торгов;</w:t>
      </w:r>
    </w:p>
    <w:bookmarkEnd w:id="13"/>
    <w:bookmarkStart w:name="z21" w:id="14"/>
    <w:p>
      <w:pPr>
        <w:spacing w:after="0"/>
        <w:ind w:left="0"/>
        <w:jc w:val="both"/>
      </w:pPr>
      <w:r>
        <w:rPr>
          <w:rFonts w:ascii="Times New Roman"/>
          <w:b w:val="false"/>
          <w:i w:val="false"/>
          <w:color w:val="000000"/>
          <w:sz w:val="28"/>
        </w:rPr>
        <w:t>
      2) срока покупки услуги по поддержанию готовности электрической мощности, равного 15 (пятнадцати) годам;</w:t>
      </w:r>
    </w:p>
    <w:bookmarkEnd w:id="14"/>
    <w:bookmarkStart w:name="z22" w:id="15"/>
    <w:p>
      <w:pPr>
        <w:spacing w:after="0"/>
        <w:ind w:left="0"/>
        <w:jc w:val="both"/>
      </w:pPr>
      <w:r>
        <w:rPr>
          <w:rFonts w:ascii="Times New Roman"/>
          <w:b w:val="false"/>
          <w:i w:val="false"/>
          <w:color w:val="000000"/>
          <w:sz w:val="28"/>
        </w:rPr>
        <w:t>
      3) объема услуги по поддержанию готовности электрической мощности;</w:t>
      </w:r>
    </w:p>
    <w:bookmarkEnd w:id="15"/>
    <w:bookmarkStart w:name="z23" w:id="16"/>
    <w:p>
      <w:pPr>
        <w:spacing w:after="0"/>
        <w:ind w:left="0"/>
        <w:jc w:val="both"/>
      </w:pPr>
      <w:r>
        <w:rPr>
          <w:rFonts w:ascii="Times New Roman"/>
          <w:b w:val="false"/>
          <w:i w:val="false"/>
          <w:color w:val="000000"/>
          <w:sz w:val="28"/>
        </w:rPr>
        <w:t>
      4) зоны дефицита регулировочной электрической мощности в ЕЭС РК;</w:t>
      </w:r>
    </w:p>
    <w:bookmarkEnd w:id="16"/>
    <w:bookmarkStart w:name="z24" w:id="17"/>
    <w:p>
      <w:pPr>
        <w:spacing w:after="0"/>
        <w:ind w:left="0"/>
        <w:jc w:val="both"/>
      </w:pPr>
      <w:r>
        <w:rPr>
          <w:rFonts w:ascii="Times New Roman"/>
          <w:b w:val="false"/>
          <w:i w:val="false"/>
          <w:color w:val="000000"/>
          <w:sz w:val="28"/>
        </w:rPr>
        <w:t>
      5) предварительных технических условий на подключение к электрической сети, перед выдачей которых энергопередающие организации, эксплуатирующие электрические сети в соответствующей зоне ЕЭС РК, представляют в адрес уполномоченного органа информацию о возможных точках подключения к электрическим сетям не позднее, чем через 60 (шестьдесят) календарных дней после опубликования Графика.</w:t>
      </w:r>
    </w:p>
    <w:bookmarkEnd w:id="17"/>
    <w:bookmarkStart w:name="z25" w:id="18"/>
    <w:p>
      <w:pPr>
        <w:spacing w:after="0"/>
        <w:ind w:left="0"/>
        <w:jc w:val="both"/>
      </w:pPr>
      <w:r>
        <w:rPr>
          <w:rFonts w:ascii="Times New Roman"/>
          <w:b w:val="false"/>
          <w:i w:val="false"/>
          <w:color w:val="000000"/>
          <w:sz w:val="28"/>
        </w:rPr>
        <w:t xml:space="preserve">
      Точки подключения резервируются энергопередающими организациями до момента выдачи технических условий на подключение к электрической сети, с направлением соответствующей информации уполномоченному органу. </w:t>
      </w:r>
    </w:p>
    <w:bookmarkEnd w:id="18"/>
    <w:bookmarkStart w:name="z26" w:id="19"/>
    <w:p>
      <w:pPr>
        <w:spacing w:after="0"/>
        <w:ind w:left="0"/>
        <w:jc w:val="both"/>
      </w:pPr>
      <w:r>
        <w:rPr>
          <w:rFonts w:ascii="Times New Roman"/>
          <w:b w:val="false"/>
          <w:i w:val="false"/>
          <w:color w:val="000000"/>
          <w:sz w:val="28"/>
        </w:rPr>
        <w:t>
      При получении нескольких заявлений на одну точку подключения к электрическим сетям, энергопередающая организация выдает предварительные технические условия каждому заявителю.";</w:t>
      </w:r>
    </w:p>
    <w:bookmarkEnd w:id="19"/>
    <w:bookmarkStart w:name="z27" w:id="20"/>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54</w:t>
      </w:r>
      <w:r>
        <w:rPr>
          <w:rFonts w:ascii="Times New Roman"/>
          <w:b w:val="false"/>
          <w:i w:val="false"/>
          <w:color w:val="000000"/>
          <w:sz w:val="28"/>
        </w:rPr>
        <w:t xml:space="preserve"> изложить в новой редакции:</w:t>
      </w:r>
    </w:p>
    <w:bookmarkEnd w:id="20"/>
    <w:bookmarkStart w:name="z28" w:id="21"/>
    <w:p>
      <w:pPr>
        <w:spacing w:after="0"/>
        <w:ind w:left="0"/>
        <w:jc w:val="both"/>
      </w:pPr>
      <w:r>
        <w:rPr>
          <w:rFonts w:ascii="Times New Roman"/>
          <w:b w:val="false"/>
          <w:i w:val="false"/>
          <w:color w:val="000000"/>
          <w:sz w:val="28"/>
        </w:rPr>
        <w:t xml:space="preserve">
      "8) копии правоустанавливающих документов на земельный участок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подтверждающих наступление юридических фактов (юридических составов), на основании которых возникают права на земельный участок, и с учетом государственной регистрации прав на земельный участок в порядке и сроки, которые установлены законодательством Республики Казахстан о государственной регистрации права на недвижимое имущество;";</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новой редакции:</w:t>
      </w:r>
    </w:p>
    <w:bookmarkStart w:name="z30" w:id="22"/>
    <w:p>
      <w:pPr>
        <w:spacing w:after="0"/>
        <w:ind w:left="0"/>
        <w:jc w:val="both"/>
      </w:pPr>
      <w:r>
        <w:rPr>
          <w:rFonts w:ascii="Times New Roman"/>
          <w:b w:val="false"/>
          <w:i w:val="false"/>
          <w:color w:val="000000"/>
          <w:sz w:val="28"/>
        </w:rPr>
        <w:t>
      "78. Финансовое обеспечение заявки на участие в аукционных торгах, внесенное заявителем в виде банковской гарантии или резервного аккредитива, возвращается (освобождается) путем направления единым закупщиком соответствующего письма в банк (банки) в течение 10 (десяти) рабочих дней со дня наступления одного из следующих случаев:</w:t>
      </w:r>
    </w:p>
    <w:bookmarkEnd w:id="22"/>
    <w:bookmarkStart w:name="z31" w:id="23"/>
    <w:p>
      <w:pPr>
        <w:spacing w:after="0"/>
        <w:ind w:left="0"/>
        <w:jc w:val="both"/>
      </w:pPr>
      <w:r>
        <w:rPr>
          <w:rFonts w:ascii="Times New Roman"/>
          <w:b w:val="false"/>
          <w:i w:val="false"/>
          <w:color w:val="000000"/>
          <w:sz w:val="28"/>
        </w:rPr>
        <w:t>
      1) участник не стал победителем аукционных торгов в соответствии с итогами аукционных торгов (указанный случай не распространяется на претендента);</w:t>
      </w:r>
    </w:p>
    <w:bookmarkEnd w:id="23"/>
    <w:bookmarkStart w:name="z32" w:id="24"/>
    <w:p>
      <w:pPr>
        <w:spacing w:after="0"/>
        <w:ind w:left="0"/>
        <w:jc w:val="both"/>
      </w:pPr>
      <w:r>
        <w:rPr>
          <w:rFonts w:ascii="Times New Roman"/>
          <w:b w:val="false"/>
          <w:i w:val="false"/>
          <w:color w:val="000000"/>
          <w:sz w:val="28"/>
        </w:rPr>
        <w:t>
      2) победитель аукционных торгов или претендент заключил договор покупки электрической мощности и внес необходимый объем финансового обеспечения исполнения условий договора покупки электрической мощности.";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новой редакции:</w:t>
      </w:r>
    </w:p>
    <w:bookmarkStart w:name="z34" w:id="25"/>
    <w:p>
      <w:pPr>
        <w:spacing w:after="0"/>
        <w:ind w:left="0"/>
        <w:jc w:val="both"/>
      </w:pPr>
      <w:r>
        <w:rPr>
          <w:rFonts w:ascii="Times New Roman"/>
          <w:b w:val="false"/>
          <w:i w:val="false"/>
          <w:color w:val="000000"/>
          <w:sz w:val="28"/>
        </w:rPr>
        <w:t>
      "80. Финансовое обеспечение заявки на участие в аукционных торгах оформляется на срок действия, не менее 120 (ста двадцати) календарных дней с даты проведения аукционных торгов, и является безотзывным.</w:t>
      </w:r>
    </w:p>
    <w:bookmarkEnd w:id="25"/>
    <w:bookmarkStart w:name="z35" w:id="26"/>
    <w:p>
      <w:pPr>
        <w:spacing w:after="0"/>
        <w:ind w:left="0"/>
        <w:jc w:val="both"/>
      </w:pPr>
      <w:r>
        <w:rPr>
          <w:rFonts w:ascii="Times New Roman"/>
          <w:b w:val="false"/>
          <w:i w:val="false"/>
          <w:color w:val="000000"/>
          <w:sz w:val="28"/>
        </w:rPr>
        <w:t>
      При намерении претендента заключить договор покупки электрической мощности, срок финансового обеспечения заявки на участие в аукционных торгах претендента, продлевается в течение 3 (трех) рабочих дней после дня завершения соответствующих аукционных торгов на срок, не менее 90 (девяноста) календарных дней.";</w:t>
      </w:r>
    </w:p>
    <w:bookmarkEnd w:id="26"/>
    <w:bookmarkStart w:name="z36" w:id="27"/>
    <w:p>
      <w:pPr>
        <w:spacing w:after="0"/>
        <w:ind w:left="0"/>
        <w:jc w:val="both"/>
      </w:pPr>
      <w:r>
        <w:rPr>
          <w:rFonts w:ascii="Times New Roman"/>
          <w:b w:val="false"/>
          <w:i w:val="false"/>
          <w:color w:val="000000"/>
          <w:sz w:val="28"/>
        </w:rPr>
        <w:t>
      дополнить пунктом 88-1 следующего содержания:</w:t>
      </w:r>
    </w:p>
    <w:bookmarkEnd w:id="27"/>
    <w:bookmarkStart w:name="z37" w:id="28"/>
    <w:p>
      <w:pPr>
        <w:spacing w:after="0"/>
        <w:ind w:left="0"/>
        <w:jc w:val="both"/>
      </w:pPr>
      <w:r>
        <w:rPr>
          <w:rFonts w:ascii="Times New Roman"/>
          <w:b w:val="false"/>
          <w:i w:val="false"/>
          <w:color w:val="000000"/>
          <w:sz w:val="28"/>
        </w:rPr>
        <w:t>
      "88-1. Определение претендента осуществляется путем выбора заявки, следующей за заявкой победителя в итоговом ранжированном списке участников аукционных торгов.</w:t>
      </w:r>
    </w:p>
    <w:bookmarkEnd w:id="28"/>
    <w:bookmarkStart w:name="z38" w:id="29"/>
    <w:p>
      <w:pPr>
        <w:spacing w:after="0"/>
        <w:ind w:left="0"/>
        <w:jc w:val="both"/>
      </w:pPr>
      <w:r>
        <w:rPr>
          <w:rFonts w:ascii="Times New Roman"/>
          <w:b w:val="false"/>
          <w:i w:val="false"/>
          <w:color w:val="000000"/>
          <w:sz w:val="28"/>
        </w:rPr>
        <w:t xml:space="preserve">
      При незаключении в порядке и на условиях, определенных настоящими Правилами, победителем аукционных торгов договора покупки электрической мощности и (или) не предоставления победителем аукционных торгов необходимого объема финансового обеспечения исполнения условий договора покупки электрической мощности в соответствии с </w:t>
      </w:r>
      <w:r>
        <w:rPr>
          <w:rFonts w:ascii="Times New Roman"/>
          <w:b w:val="false"/>
          <w:i w:val="false"/>
          <w:color w:val="000000"/>
          <w:sz w:val="28"/>
        </w:rPr>
        <w:t>пунктом 95</w:t>
      </w:r>
      <w:r>
        <w:rPr>
          <w:rFonts w:ascii="Times New Roman"/>
          <w:b w:val="false"/>
          <w:i w:val="false"/>
          <w:color w:val="000000"/>
          <w:sz w:val="28"/>
        </w:rPr>
        <w:t xml:space="preserve"> настоящих Правил, заключение договора осуществляется с претендентом в соответствии с </w:t>
      </w:r>
      <w:r>
        <w:rPr>
          <w:rFonts w:ascii="Times New Roman"/>
          <w:b w:val="false"/>
          <w:i w:val="false"/>
          <w:color w:val="000000"/>
          <w:sz w:val="28"/>
        </w:rPr>
        <w:t>пунктами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настоящих Правил.</w:t>
      </w:r>
    </w:p>
    <w:bookmarkEnd w:id="29"/>
    <w:bookmarkStart w:name="z39" w:id="30"/>
    <w:p>
      <w:pPr>
        <w:spacing w:after="0"/>
        <w:ind w:left="0"/>
        <w:jc w:val="both"/>
      </w:pPr>
      <w:r>
        <w:rPr>
          <w:rFonts w:ascii="Times New Roman"/>
          <w:b w:val="false"/>
          <w:i w:val="false"/>
          <w:color w:val="000000"/>
          <w:sz w:val="28"/>
        </w:rPr>
        <w:t>
      При этом в качестве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устанавливается последняя востребованная заявка на участие победителя.";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новой редакции:</w:t>
      </w:r>
    </w:p>
    <w:bookmarkStart w:name="z41" w:id="31"/>
    <w:p>
      <w:pPr>
        <w:spacing w:after="0"/>
        <w:ind w:left="0"/>
        <w:jc w:val="both"/>
      </w:pPr>
      <w:r>
        <w:rPr>
          <w:rFonts w:ascii="Times New Roman"/>
          <w:b w:val="false"/>
          <w:i w:val="false"/>
          <w:color w:val="000000"/>
          <w:sz w:val="28"/>
        </w:rPr>
        <w:t>
      "90. Реестр победителей аукционных торгов публикуется на интернет-ресурсе организатора аукционных торгов после проведения последнего вида аукционных торгов, согласно соответствующему Графику.</w:t>
      </w:r>
    </w:p>
    <w:bookmarkEnd w:id="31"/>
    <w:bookmarkStart w:name="z42" w:id="32"/>
    <w:p>
      <w:pPr>
        <w:spacing w:after="0"/>
        <w:ind w:left="0"/>
        <w:jc w:val="both"/>
      </w:pPr>
      <w:r>
        <w:rPr>
          <w:rFonts w:ascii="Times New Roman"/>
          <w:b w:val="false"/>
          <w:i w:val="false"/>
          <w:color w:val="000000"/>
          <w:sz w:val="28"/>
        </w:rPr>
        <w:t>
      В реестре победителей аукционных торгов для каждого вида аукционных торгов отражается следующая информация:</w:t>
      </w:r>
    </w:p>
    <w:bookmarkEnd w:id="32"/>
    <w:bookmarkStart w:name="z43" w:id="33"/>
    <w:p>
      <w:pPr>
        <w:spacing w:after="0"/>
        <w:ind w:left="0"/>
        <w:jc w:val="both"/>
      </w:pPr>
      <w:r>
        <w:rPr>
          <w:rFonts w:ascii="Times New Roman"/>
          <w:b w:val="false"/>
          <w:i w:val="false"/>
          <w:color w:val="000000"/>
          <w:sz w:val="28"/>
        </w:rPr>
        <w:t>
      победитель (победители), аукционных торгов, претендент;</w:t>
      </w:r>
    </w:p>
    <w:bookmarkEnd w:id="33"/>
    <w:bookmarkStart w:name="z44" w:id="34"/>
    <w:p>
      <w:pPr>
        <w:spacing w:after="0"/>
        <w:ind w:left="0"/>
        <w:jc w:val="both"/>
      </w:pPr>
      <w:r>
        <w:rPr>
          <w:rFonts w:ascii="Times New Roman"/>
          <w:b w:val="false"/>
          <w:i w:val="false"/>
          <w:color w:val="000000"/>
          <w:sz w:val="28"/>
        </w:rPr>
        <w:t>
      тариф (тарифы), определенный (определенные) по итогам аукционных торгов;</w:t>
      </w:r>
    </w:p>
    <w:bookmarkEnd w:id="34"/>
    <w:bookmarkStart w:name="z45" w:id="35"/>
    <w:p>
      <w:pPr>
        <w:spacing w:after="0"/>
        <w:ind w:left="0"/>
        <w:jc w:val="both"/>
      </w:pPr>
      <w:r>
        <w:rPr>
          <w:rFonts w:ascii="Times New Roman"/>
          <w:b w:val="false"/>
          <w:i w:val="false"/>
          <w:color w:val="000000"/>
          <w:sz w:val="28"/>
        </w:rPr>
        <w:t>
      объемы услуги по поддержанию готовности электрической мощности, полностью вошедшие в объем отбора в рамках аукционных торгов.";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новой редакции:</w:t>
      </w:r>
    </w:p>
    <w:bookmarkStart w:name="z47" w:id="36"/>
    <w:p>
      <w:pPr>
        <w:spacing w:after="0"/>
        <w:ind w:left="0"/>
        <w:jc w:val="both"/>
      </w:pPr>
      <w:r>
        <w:rPr>
          <w:rFonts w:ascii="Times New Roman"/>
          <w:b w:val="false"/>
          <w:i w:val="false"/>
          <w:color w:val="000000"/>
          <w:sz w:val="28"/>
        </w:rPr>
        <w:t>
      "96. Необходимый объем финансового обеспечения исполнения условий договора покупки электрической мощности, указываемый в Графике, определяется в объеме, равном 0,5 (ноль целых пять десятых) процента от произведения индивидуального тарифа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(в тенге/МВт*месяц), срока покупки услуги по поддержанию готовности электрической мощности, равный 15 (пятнадцати) годам и объема услуги по поддержанию готовности электрической мощности (в МВт), указанного в Графике.".</w:t>
      </w:r>
    </w:p>
    <w:bookmarkEnd w:id="36"/>
    <w:bookmarkStart w:name="z48" w:id="37"/>
    <w:p>
      <w:pPr>
        <w:spacing w:after="0"/>
        <w:ind w:left="0"/>
        <w:jc w:val="both"/>
      </w:pPr>
      <w:r>
        <w:rPr>
          <w:rFonts w:ascii="Times New Roman"/>
          <w:b w:val="false"/>
          <w:i w:val="false"/>
          <w:color w:val="000000"/>
          <w:sz w:val="28"/>
        </w:rPr>
        <w:t>
      дополнить пунктом 119 следующего содержания:</w:t>
      </w:r>
    </w:p>
    <w:bookmarkEnd w:id="37"/>
    <w:bookmarkStart w:name="z49" w:id="38"/>
    <w:p>
      <w:pPr>
        <w:spacing w:after="0"/>
        <w:ind w:left="0"/>
        <w:jc w:val="both"/>
      </w:pPr>
      <w:r>
        <w:rPr>
          <w:rFonts w:ascii="Times New Roman"/>
          <w:b w:val="false"/>
          <w:i w:val="false"/>
          <w:color w:val="000000"/>
          <w:sz w:val="28"/>
        </w:rPr>
        <w:t>
      "119. Победители аукционных торгов на ежемесячной основе предоставляют Уполномоченному органу информацию о ходе строительства вновь вводимых в эксплуатацию генерирующих установок с маневренным режимом генерации.".</w:t>
      </w:r>
    </w:p>
    <w:bookmarkEnd w:id="38"/>
    <w:bookmarkStart w:name="z50" w:id="39"/>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39"/>
    <w:bookmarkStart w:name="z51"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52" w:id="41"/>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 после его официального публикования;</w:t>
      </w:r>
    </w:p>
    <w:bookmarkEnd w:id="41"/>
    <w:bookmarkStart w:name="z53" w:id="4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42"/>
    <w:bookmarkStart w:name="z54"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43"/>
    <w:bookmarkStart w:name="z55" w:id="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