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30e3" w14:textId="cb33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требований, предъявляемых к организациям, аттестуемым на право проведения работ в области безопасности гидротехнических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9 июня 2025 года № 119-НҚ. Зарегистрирован в Министерстве юстиции Республики Казахстан 11 июня 2025 года № 36240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организациям, аттестуемым на право проведения работ в области безопасности гидротехнических сооружений.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декабря 2015 года № 19-2/1053 "Об утверждении требований, предъявляемых к организациям, аттестуемым на право проведения работ в области безопасности плотин" (зарегистрирован в Реестре государственной регистрации нормативных правовых актов за № 12635).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10 июня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119-НҚ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 организациям, аттестуемым на право проведения работ в области безопасности гидротехнических сооружений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опыта в качестве разработчика проектной (проектно-сметной) документации на строительство или реконструкцию гидротехнических сооружений, введенных в эксплуатацию, соответствующем одному из требований по классности сооружений, в количестве не менее: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 объектов I класса;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 объектов II класса;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 объектов III класса;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 объектов IV класса, представляющих повышенную опасность при чрезвычайных ситуациях природного и техногенного характера.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наличия опыта организациям определяются классы гидротехнических сооружений, по котором проводятся работы в области безопасности гидротехнических сооружений, в частности: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опыта по объектам I класса работы проводятся по объектам I, II, III и IV классов, представляющих повышенную опасность при чрезвычайных ситуациях природного и техногенного характера;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опыта по объектам II класса работы проводятся по объектам II, III и IV классов, представляющих повышенную опасность при чрезвычайных ситуациях природного и техногенного характера;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опыта по объектам III класса работы проводятся по объектам III и IV классов, представляющих повышенную опасность при чрезвычайных ситуациях природного и техногенного характера;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опыта исключительно по объектам IV класса, представляющих повышенную опасность при чрезвычайных ситуациях природного и техногенного характера дает право на проведение работ только по объектам IV класса, представляющих повышенную опасность при чрезвычайных ситуациях природного и техногенного характера.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в штатном расписании не менее одного специалиста с высшим профессиональным образованием и стажем работы не менее трех лет в одной из следующих областей: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наук (гидротехническое строительство и сооружения, гидрогеология, геодезия, геология, гидромелиорация);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наук (водные ресурсы и водопользование);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естественных наук (гидрология), а также межотраслевых специалистов, имеющих аттестаты, сертификаты, опыт работ в проектировании строительства, ремонта и реконструкции, эксплуатации гидротехнических сооружений.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