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7f1d" w14:textId="be67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по инвестициям и развитию Республики Казахстан от 11 мая 2018 года № 316 "Об утверждении Правил проведения аукциона среди заявителей, имеющих одинаковую приоритетность"</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26 мая 2025 года № 179. Зарегистрирован в Министерстве юстиции Республики Казахстан 3 июня 2025 года № 36205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11 мая 2018 года № 316 "Об утверждении Правил проведения аукциона среди заявителей, имеющих одинаковую приоритетность" (зарегистрирован в Реестре государственной регистрации нормативных правовых актов за № 16994)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аукцион – форма закрытых торгов, проводимых с использованием веб-портала реестра в электронной форме, при которой участники, определенные компетентным органом по результатам рассмотрения заявлений на лицензии, подтверждают свои предложения публично;</w:t>
      </w:r>
    </w:p>
    <w:bookmarkEnd w:id="3"/>
    <w:bookmarkStart w:name="z9" w:id="4"/>
    <w:p>
      <w:pPr>
        <w:spacing w:after="0"/>
        <w:ind w:left="0"/>
        <w:jc w:val="both"/>
      </w:pPr>
      <w:r>
        <w:rPr>
          <w:rFonts w:ascii="Times New Roman"/>
          <w:b w:val="false"/>
          <w:i w:val="false"/>
          <w:color w:val="000000"/>
          <w:sz w:val="28"/>
        </w:rPr>
        <w:t>
      2) шаг аукциона – величина, на которую увеличивается размер подписного бонуса;</w:t>
      </w:r>
    </w:p>
    <w:bookmarkEnd w:id="4"/>
    <w:bookmarkStart w:name="z10" w:id="5"/>
    <w:p>
      <w:pPr>
        <w:spacing w:after="0"/>
        <w:ind w:left="0"/>
        <w:jc w:val="both"/>
      </w:pPr>
      <w:r>
        <w:rPr>
          <w:rFonts w:ascii="Times New Roman"/>
          <w:b w:val="false"/>
          <w:i w:val="false"/>
          <w:color w:val="000000"/>
          <w:sz w:val="28"/>
        </w:rPr>
        <w:t>
      3)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5"/>
    <w:bookmarkStart w:name="z11" w:id="6"/>
    <w:p>
      <w:pPr>
        <w:spacing w:after="0"/>
        <w:ind w:left="0"/>
        <w:jc w:val="both"/>
      </w:pPr>
      <w:r>
        <w:rPr>
          <w:rFonts w:ascii="Times New Roman"/>
          <w:b w:val="false"/>
          <w:i w:val="false"/>
          <w:color w:val="000000"/>
          <w:sz w:val="28"/>
        </w:rPr>
        <w:t>
      4) реестр итогов аукциона – сведения, автоматически формируемые веб-порталом реестра по итогам аукциона с указанием аукционных номеров участников аукциона и размеров подписных бонусов, по каждому аукциону с указанием блока (ов);</w:t>
      </w:r>
    </w:p>
    <w:bookmarkEnd w:id="6"/>
    <w:bookmarkStart w:name="z12" w:id="7"/>
    <w:p>
      <w:pPr>
        <w:spacing w:after="0"/>
        <w:ind w:left="0"/>
        <w:jc w:val="both"/>
      </w:pPr>
      <w:r>
        <w:rPr>
          <w:rFonts w:ascii="Times New Roman"/>
          <w:b w:val="false"/>
          <w:i w:val="false"/>
          <w:color w:val="000000"/>
          <w:sz w:val="28"/>
        </w:rPr>
        <w:t>
      5) аукционный номер – номер, присваиваемый участнику для участия в аукционе при наличии электронной цифровой подписи;</w:t>
      </w:r>
    </w:p>
    <w:bookmarkEnd w:id="7"/>
    <w:bookmarkStart w:name="z13" w:id="8"/>
    <w:p>
      <w:pPr>
        <w:spacing w:after="0"/>
        <w:ind w:left="0"/>
        <w:jc w:val="both"/>
      </w:pPr>
      <w:r>
        <w:rPr>
          <w:rFonts w:ascii="Times New Roman"/>
          <w:b w:val="false"/>
          <w:i w:val="false"/>
          <w:color w:val="000000"/>
          <w:sz w:val="28"/>
        </w:rPr>
        <w:t>
      6) объект аукциона (далее – объект) – право на включение блока (блоков) в лицензию в приоритетном порядке;</w:t>
      </w:r>
    </w:p>
    <w:bookmarkEnd w:id="8"/>
    <w:bookmarkStart w:name="z14" w:id="9"/>
    <w:p>
      <w:pPr>
        <w:spacing w:after="0"/>
        <w:ind w:left="0"/>
        <w:jc w:val="both"/>
      </w:pPr>
      <w:r>
        <w:rPr>
          <w:rFonts w:ascii="Times New Roman"/>
          <w:b w:val="false"/>
          <w:i w:val="false"/>
          <w:color w:val="000000"/>
          <w:sz w:val="28"/>
        </w:rPr>
        <w:t>
      7) программа – программа управления государственным фондом недр, утверждаемая компетентным органом;</w:t>
      </w:r>
    </w:p>
    <w:bookmarkEnd w:id="9"/>
    <w:bookmarkStart w:name="z15" w:id="10"/>
    <w:p>
      <w:pPr>
        <w:spacing w:after="0"/>
        <w:ind w:left="0"/>
        <w:jc w:val="both"/>
      </w:pPr>
      <w:r>
        <w:rPr>
          <w:rFonts w:ascii="Times New Roman"/>
          <w:b w:val="false"/>
          <w:i w:val="false"/>
          <w:color w:val="000000"/>
          <w:sz w:val="28"/>
        </w:rPr>
        <w:t>
      8) геоинформационный сервис (далее – геосервис) – информационный сервис, содержащий информацию о территориях, в пределах которых участки недр предоставляются для разведки твердых полезных ископаемых на основании аукциона, предназначенный для внесения, сбора, обработки, анализа данных об использовании таких участков, полученных путем внесения результатов систематических наблюдений, наземных съемок, обследований, инвентаризаций, материалов государственного контроля за использованием и охраной земель, архивных данных, данных дистанционного зондирования земель, сведений, полученных из государственных информационных систем и электронных информационных ресурсов, а также других сведений о состоянии земель и недр;</w:t>
      </w:r>
    </w:p>
    <w:bookmarkEnd w:id="10"/>
    <w:bookmarkStart w:name="z16" w:id="11"/>
    <w:p>
      <w:pPr>
        <w:spacing w:after="0"/>
        <w:ind w:left="0"/>
        <w:jc w:val="both"/>
      </w:pPr>
      <w:r>
        <w:rPr>
          <w:rFonts w:ascii="Times New Roman"/>
          <w:b w:val="false"/>
          <w:i w:val="false"/>
          <w:color w:val="000000"/>
          <w:sz w:val="28"/>
        </w:rPr>
        <w:t>
      9) победитель – участник аукциона, подтвердивший наиболее высокий размер подписного бонуса за объект среди других зарегистрированных участников аукциона или единственный зарегистрированный участник аукциона;</w:t>
      </w:r>
    </w:p>
    <w:bookmarkEnd w:id="11"/>
    <w:bookmarkStart w:name="z17" w:id="12"/>
    <w:p>
      <w:pPr>
        <w:spacing w:after="0"/>
        <w:ind w:left="0"/>
        <w:jc w:val="both"/>
      </w:pPr>
      <w:r>
        <w:rPr>
          <w:rFonts w:ascii="Times New Roman"/>
          <w:b w:val="false"/>
          <w:i w:val="false"/>
          <w:color w:val="000000"/>
          <w:sz w:val="28"/>
        </w:rPr>
        <w:t>
      10) единая платформа недропользования (далее – ЕПН) – информационная система, предназначенная для автоматизации бизнес-процессов в сфере недропользования;</w:t>
      </w:r>
    </w:p>
    <w:bookmarkEnd w:id="12"/>
    <w:bookmarkStart w:name="z18" w:id="13"/>
    <w:p>
      <w:pPr>
        <w:spacing w:after="0"/>
        <w:ind w:left="0"/>
        <w:jc w:val="both"/>
      </w:pPr>
      <w:r>
        <w:rPr>
          <w:rFonts w:ascii="Times New Roman"/>
          <w:b w:val="false"/>
          <w:i w:val="false"/>
          <w:color w:val="000000"/>
          <w:sz w:val="28"/>
        </w:rPr>
        <w:t>
      11) аукцион на повышение – метод аукциона, при котором стартовый размер подписного бонуса повышается с заранее объявленным шагом аукциона;</w:t>
      </w:r>
    </w:p>
    <w:bookmarkEnd w:id="13"/>
    <w:bookmarkStart w:name="z19" w:id="14"/>
    <w:p>
      <w:pPr>
        <w:spacing w:after="0"/>
        <w:ind w:left="0"/>
        <w:jc w:val="both"/>
      </w:pPr>
      <w:r>
        <w:rPr>
          <w:rFonts w:ascii="Times New Roman"/>
          <w:b w:val="false"/>
          <w:i w:val="false"/>
          <w:color w:val="000000"/>
          <w:sz w:val="28"/>
        </w:rPr>
        <w:t>
      12) участник – физическое или юридическое лицо, зарегистрированное в установленном порядке для участия в аукционе;</w:t>
      </w:r>
    </w:p>
    <w:bookmarkEnd w:id="14"/>
    <w:bookmarkStart w:name="z20" w:id="15"/>
    <w:p>
      <w:pPr>
        <w:spacing w:after="0"/>
        <w:ind w:left="0"/>
        <w:jc w:val="both"/>
      </w:pPr>
      <w:r>
        <w:rPr>
          <w:rFonts w:ascii="Times New Roman"/>
          <w:b w:val="false"/>
          <w:i w:val="false"/>
          <w:color w:val="000000"/>
          <w:sz w:val="28"/>
        </w:rPr>
        <w:t>
      13) заявка на участие – заявка на участие в аукционе, поданная заявителем на выдачу лицензии на разведку твердых полезных ископаемых;</w:t>
      </w:r>
    </w:p>
    <w:bookmarkEnd w:id="15"/>
    <w:bookmarkStart w:name="z21" w:id="16"/>
    <w:p>
      <w:pPr>
        <w:spacing w:after="0"/>
        <w:ind w:left="0"/>
        <w:jc w:val="both"/>
      </w:pPr>
      <w:r>
        <w:rPr>
          <w:rFonts w:ascii="Times New Roman"/>
          <w:b w:val="false"/>
          <w:i w:val="false"/>
          <w:color w:val="000000"/>
          <w:sz w:val="28"/>
        </w:rPr>
        <w:t>
      14) текущий размер подписного бонуса – размер подписного бонуса, складывающийся в ходе аукциона;</w:t>
      </w:r>
    </w:p>
    <w:bookmarkEnd w:id="16"/>
    <w:bookmarkStart w:name="z22" w:id="17"/>
    <w:p>
      <w:pPr>
        <w:spacing w:after="0"/>
        <w:ind w:left="0"/>
        <w:jc w:val="both"/>
      </w:pPr>
      <w:r>
        <w:rPr>
          <w:rFonts w:ascii="Times New Roman"/>
          <w:b w:val="false"/>
          <w:i w:val="false"/>
          <w:color w:val="000000"/>
          <w:sz w:val="28"/>
        </w:rPr>
        <w:t xml:space="preserve">
      15) стартовый размер подписного бонуса - размер подписного бонуса, с которого начинается аукцион по объекту, установленный в соответствии со </w:t>
      </w:r>
      <w:r>
        <w:rPr>
          <w:rFonts w:ascii="Times New Roman"/>
          <w:b w:val="false"/>
          <w:i w:val="false"/>
          <w:color w:val="000000"/>
          <w:sz w:val="28"/>
        </w:rPr>
        <w:t>статьей 726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17"/>
    <w:bookmarkStart w:name="z23" w:id="18"/>
    <w:p>
      <w:pPr>
        <w:spacing w:after="0"/>
        <w:ind w:left="0"/>
        <w:jc w:val="both"/>
      </w:pPr>
      <w:r>
        <w:rPr>
          <w:rFonts w:ascii="Times New Roman"/>
          <w:b w:val="false"/>
          <w:i w:val="false"/>
          <w:color w:val="000000"/>
          <w:sz w:val="28"/>
        </w:rPr>
        <w:t>
      16) окончательный размер подписного бонуса – максимальный размер подписного бонуса, определенный в отношении блока (блоков) по итогам аукциона;</w:t>
      </w:r>
    </w:p>
    <w:bookmarkEnd w:id="18"/>
    <w:bookmarkStart w:name="z24" w:id="19"/>
    <w:p>
      <w:pPr>
        <w:spacing w:after="0"/>
        <w:ind w:left="0"/>
        <w:jc w:val="both"/>
      </w:pPr>
      <w:r>
        <w:rPr>
          <w:rFonts w:ascii="Times New Roman"/>
          <w:b w:val="false"/>
          <w:i w:val="false"/>
          <w:color w:val="000000"/>
          <w:sz w:val="28"/>
        </w:rPr>
        <w:t>
      17) лицензия – лицензия на разведку твердых полезных ископаемых, выдаваемая компетентным органом в результате определения приоритета на блок (блоки) по итогам аукциона;</w:t>
      </w:r>
    </w:p>
    <w:bookmarkEnd w:id="19"/>
    <w:bookmarkStart w:name="z25" w:id="20"/>
    <w:p>
      <w:pPr>
        <w:spacing w:after="0"/>
        <w:ind w:left="0"/>
        <w:jc w:val="both"/>
      </w:pPr>
      <w:r>
        <w:rPr>
          <w:rFonts w:ascii="Times New Roman"/>
          <w:b w:val="false"/>
          <w:i w:val="false"/>
          <w:color w:val="000000"/>
          <w:sz w:val="28"/>
        </w:rPr>
        <w:t>
      18) заявление на лицензию – заявление о выдаче лицензии на разведку твердых полезных ископаемых;</w:t>
      </w:r>
    </w:p>
    <w:bookmarkEnd w:id="20"/>
    <w:bookmarkStart w:name="z26" w:id="21"/>
    <w:p>
      <w:pPr>
        <w:spacing w:after="0"/>
        <w:ind w:left="0"/>
        <w:jc w:val="both"/>
      </w:pPr>
      <w:r>
        <w:rPr>
          <w:rFonts w:ascii="Times New Roman"/>
          <w:b w:val="false"/>
          <w:i w:val="false"/>
          <w:color w:val="000000"/>
          <w:sz w:val="28"/>
        </w:rPr>
        <w:t>
      19) веб-портал реестра государственного имущества (далее – веб-портал реестра) – интернет-ресурс, размещенный в сети интернет по адресу: e-qazyna.kz, предоставляющий единую точку доступа к электронной базе данных об объектах продажи реестра государственного имущества (далее – реестр);</w:t>
      </w:r>
    </w:p>
    <w:bookmarkEnd w:id="21"/>
    <w:bookmarkStart w:name="z27" w:id="22"/>
    <w:p>
      <w:pPr>
        <w:spacing w:after="0"/>
        <w:ind w:left="0"/>
        <w:jc w:val="both"/>
      </w:pPr>
      <w:r>
        <w:rPr>
          <w:rFonts w:ascii="Times New Roman"/>
          <w:b w:val="false"/>
          <w:i w:val="false"/>
          <w:color w:val="000000"/>
          <w:sz w:val="28"/>
        </w:rPr>
        <w:t>
      20)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w:t>
      </w:r>
    </w:p>
    <w:bookmarkEnd w:id="22"/>
    <w:bookmarkStart w:name="z28" w:id="23"/>
    <w:p>
      <w:pPr>
        <w:spacing w:after="0"/>
        <w:ind w:left="0"/>
        <w:jc w:val="both"/>
      </w:pPr>
      <w:r>
        <w:rPr>
          <w:rFonts w:ascii="Times New Roman"/>
          <w:b w:val="false"/>
          <w:i w:val="false"/>
          <w:color w:val="000000"/>
          <w:sz w:val="28"/>
        </w:rPr>
        <w:t>
      21) электронный кошелек – лицевой счет участника в реестре для отражения денег, внесенных им на расчетный счет единого оператора в банке второго уровня;</w:t>
      </w:r>
    </w:p>
    <w:bookmarkEnd w:id="23"/>
    <w:bookmarkStart w:name="z29" w:id="24"/>
    <w:p>
      <w:pPr>
        <w:spacing w:after="0"/>
        <w:ind w:left="0"/>
        <w:jc w:val="both"/>
      </w:pPr>
      <w:r>
        <w:rPr>
          <w:rFonts w:ascii="Times New Roman"/>
          <w:b w:val="false"/>
          <w:i w:val="false"/>
          <w:color w:val="000000"/>
          <w:sz w:val="28"/>
        </w:rPr>
        <w:t>
      22)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4"/>
    <w:bookmarkStart w:name="z30" w:id="25"/>
    <w:p>
      <w:pPr>
        <w:spacing w:after="0"/>
        <w:ind w:left="0"/>
        <w:jc w:val="both"/>
      </w:pPr>
      <w:r>
        <w:rPr>
          <w:rFonts w:ascii="Times New Roman"/>
          <w:b w:val="false"/>
          <w:i w:val="false"/>
          <w:color w:val="000000"/>
          <w:sz w:val="28"/>
        </w:rPr>
        <w:t>
      23)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2" w:id="26"/>
    <w:p>
      <w:pPr>
        <w:spacing w:after="0"/>
        <w:ind w:left="0"/>
        <w:jc w:val="both"/>
      </w:pPr>
      <w:r>
        <w:rPr>
          <w:rFonts w:ascii="Times New Roman"/>
          <w:b w:val="false"/>
          <w:i w:val="false"/>
          <w:color w:val="000000"/>
          <w:sz w:val="28"/>
        </w:rPr>
        <w:t>
      "8. Единый оператор обеспечивает функционирование ЕПН и веб-портала реестра.";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4" w:id="27"/>
    <w:p>
      <w:pPr>
        <w:spacing w:after="0"/>
        <w:ind w:left="0"/>
        <w:jc w:val="both"/>
      </w:pPr>
      <w:r>
        <w:rPr>
          <w:rFonts w:ascii="Times New Roman"/>
          <w:b w:val="false"/>
          <w:i w:val="false"/>
          <w:color w:val="000000"/>
          <w:sz w:val="28"/>
        </w:rPr>
        <w:t>
      "11. Уведомление заявителю о совпадающих блоках и приглашение на участие в аукционе формируется компетентным органом в ЕПН и автоматически размещается в личном кабинете участника на веб-портале реестра направляется компетентным органом на электронный адрес заявителя, указанный им в своем заявлении на лицензию, не позднее двадцати рабочих дней со дня истечения одного месяца после даты начала приема заявлений на лицензии по блокам, впервые включенным в программу.";</w:t>
      </w:r>
    </w:p>
    <w:bookmarkEnd w:id="27"/>
    <w:bookmarkStart w:name="z35" w:id="28"/>
    <w:p>
      <w:pPr>
        <w:spacing w:after="0"/>
        <w:ind w:left="0"/>
        <w:jc w:val="both"/>
      </w:pPr>
      <w:r>
        <w:rPr>
          <w:rFonts w:ascii="Times New Roman"/>
          <w:b w:val="false"/>
          <w:i w:val="false"/>
          <w:color w:val="000000"/>
          <w:sz w:val="28"/>
        </w:rPr>
        <w:t>
      дополнить пунктом 16-1 следующего содержания:</w:t>
      </w:r>
    </w:p>
    <w:bookmarkEnd w:id="28"/>
    <w:bookmarkStart w:name="z36" w:id="29"/>
    <w:p>
      <w:pPr>
        <w:spacing w:after="0"/>
        <w:ind w:left="0"/>
        <w:jc w:val="both"/>
      </w:pPr>
      <w:r>
        <w:rPr>
          <w:rFonts w:ascii="Times New Roman"/>
          <w:b w:val="false"/>
          <w:i w:val="false"/>
          <w:color w:val="000000"/>
          <w:sz w:val="28"/>
        </w:rPr>
        <w:t>
      "16-1. Формирование, прием и обработка заявлений на участие от физических и юридических лиц состоит из следующих этапов:</w:t>
      </w:r>
    </w:p>
    <w:bookmarkEnd w:id="29"/>
    <w:bookmarkStart w:name="z37" w:id="30"/>
    <w:p>
      <w:pPr>
        <w:spacing w:after="0"/>
        <w:ind w:left="0"/>
        <w:jc w:val="both"/>
      </w:pPr>
      <w:r>
        <w:rPr>
          <w:rFonts w:ascii="Times New Roman"/>
          <w:b w:val="false"/>
          <w:i w:val="false"/>
          <w:color w:val="000000"/>
          <w:sz w:val="28"/>
        </w:rPr>
        <w:t>
      1) формирование и подписание на веб-портале реестра физическим или юридическим лицом заявки на участие;</w:t>
      </w:r>
    </w:p>
    <w:bookmarkEnd w:id="30"/>
    <w:bookmarkStart w:name="z38" w:id="31"/>
    <w:p>
      <w:pPr>
        <w:spacing w:after="0"/>
        <w:ind w:left="0"/>
        <w:jc w:val="both"/>
      </w:pPr>
      <w:r>
        <w:rPr>
          <w:rFonts w:ascii="Times New Roman"/>
          <w:b w:val="false"/>
          <w:i w:val="false"/>
          <w:color w:val="000000"/>
          <w:sz w:val="28"/>
        </w:rPr>
        <w:t>
      2) прием и обработка заявки на участие компетентным органом;</w:t>
      </w:r>
    </w:p>
    <w:bookmarkEnd w:id="31"/>
    <w:bookmarkStart w:name="z39" w:id="32"/>
    <w:p>
      <w:pPr>
        <w:spacing w:after="0"/>
        <w:ind w:left="0"/>
        <w:jc w:val="both"/>
      </w:pPr>
      <w:r>
        <w:rPr>
          <w:rFonts w:ascii="Times New Roman"/>
          <w:b w:val="false"/>
          <w:i w:val="false"/>
          <w:color w:val="000000"/>
          <w:sz w:val="28"/>
        </w:rPr>
        <w:t>
      3) отображение текущего статуса обработки заявки на веб-портале реестра.";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1" w:id="33"/>
    <w:p>
      <w:pPr>
        <w:spacing w:after="0"/>
        <w:ind w:left="0"/>
        <w:jc w:val="both"/>
      </w:pPr>
      <w:r>
        <w:rPr>
          <w:rFonts w:ascii="Times New Roman"/>
          <w:b w:val="false"/>
          <w:i w:val="false"/>
          <w:color w:val="000000"/>
          <w:sz w:val="28"/>
        </w:rPr>
        <w:t>
      "19. В случае получения данных в автоматическом режиме из вышеуказанных государственных баз данных и информационных систем веб-порталом реестра производится проверка сведений.</w:t>
      </w:r>
    </w:p>
    <w:bookmarkEnd w:id="33"/>
    <w:bookmarkStart w:name="z42" w:id="34"/>
    <w:p>
      <w:pPr>
        <w:spacing w:after="0"/>
        <w:ind w:left="0"/>
        <w:jc w:val="both"/>
      </w:pPr>
      <w:r>
        <w:rPr>
          <w:rFonts w:ascii="Times New Roman"/>
          <w:b w:val="false"/>
          <w:i w:val="false"/>
          <w:color w:val="000000"/>
          <w:sz w:val="28"/>
        </w:rPr>
        <w:t>
      Основаниями для отказа веб-порталом реестра в регистрации заявки на участие являются несоблюдение участником требований, указанных в пунктах 16 и 17 настоящих Правил.</w:t>
      </w:r>
    </w:p>
    <w:bookmarkEnd w:id="34"/>
    <w:bookmarkStart w:name="z43" w:id="35"/>
    <w:p>
      <w:pPr>
        <w:spacing w:after="0"/>
        <w:ind w:left="0"/>
        <w:jc w:val="both"/>
      </w:pPr>
      <w:r>
        <w:rPr>
          <w:rFonts w:ascii="Times New Roman"/>
          <w:b w:val="false"/>
          <w:i w:val="false"/>
          <w:color w:val="000000"/>
          <w:sz w:val="28"/>
        </w:rPr>
        <w:t>
      Уведомление участника о регистрации заявки на участие либо причинах отказа в регистрации такой заявки автоматически размещается в личном кабинете участника на веб-портале реестра.</w:t>
      </w:r>
    </w:p>
    <w:bookmarkEnd w:id="35"/>
    <w:bookmarkStart w:name="z44" w:id="36"/>
    <w:p>
      <w:pPr>
        <w:spacing w:after="0"/>
        <w:ind w:left="0"/>
        <w:jc w:val="both"/>
      </w:pPr>
      <w:r>
        <w:rPr>
          <w:rFonts w:ascii="Times New Roman"/>
          <w:b w:val="false"/>
          <w:i w:val="false"/>
          <w:color w:val="000000"/>
          <w:sz w:val="28"/>
        </w:rPr>
        <w:t>
      Неуплата подписного бонуса заявителем или лицом, прямо или косвенно контролирующим заявителя или находящимся под его контролем, в течение пяти лет, предшествующих дате подачи заявки на участие, также является основанием для отказа в регистрации такой заявки.";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46" w:id="37"/>
    <w:p>
      <w:pPr>
        <w:spacing w:after="0"/>
        <w:ind w:left="0"/>
        <w:jc w:val="both"/>
      </w:pPr>
      <w:r>
        <w:rPr>
          <w:rFonts w:ascii="Times New Roman"/>
          <w:b w:val="false"/>
          <w:i w:val="false"/>
          <w:color w:val="000000"/>
          <w:sz w:val="28"/>
        </w:rPr>
        <w:t>
      "26. Аукцион проводится следующим образом:</w:t>
      </w:r>
    </w:p>
    <w:bookmarkEnd w:id="37"/>
    <w:bookmarkStart w:name="z47" w:id="38"/>
    <w:p>
      <w:pPr>
        <w:spacing w:after="0"/>
        <w:ind w:left="0"/>
        <w:jc w:val="both"/>
      </w:pPr>
      <w:r>
        <w:rPr>
          <w:rFonts w:ascii="Times New Roman"/>
          <w:b w:val="false"/>
          <w:i w:val="false"/>
          <w:color w:val="000000"/>
          <w:sz w:val="28"/>
        </w:rPr>
        <w:t>
      1) если в течение десяти минут с момента подтверждения стартового размера подписного бонуса в аукционном зале участник подтвердит свое желание приобрести объект путем увеличения стартового размера подписного бонуса на шаг, установленный согласно пункту 25 настоящих Правил, то стартовый размер подписного бонуса увеличивается на установленный шаг;</w:t>
      </w:r>
    </w:p>
    <w:bookmarkEnd w:id="38"/>
    <w:bookmarkStart w:name="z48" w:id="39"/>
    <w:p>
      <w:pPr>
        <w:spacing w:after="0"/>
        <w:ind w:left="0"/>
        <w:jc w:val="both"/>
      </w:pPr>
      <w:r>
        <w:rPr>
          <w:rFonts w:ascii="Times New Roman"/>
          <w:b w:val="false"/>
          <w:i w:val="false"/>
          <w:color w:val="000000"/>
          <w:sz w:val="28"/>
        </w:rPr>
        <w:t>
      2) если в течение десяти минут после подтверждения стартового размера подписного бонуса в аукционном зале ни один из участников не подтвердит свое желание приобрести объект путем увеличения стартового размера подписного бонуса, то победителем признается участник, подтвердивший стартовый размер подписного бонуса, а аукцион по данному объекту признается состоявшимся;</w:t>
      </w:r>
    </w:p>
    <w:bookmarkEnd w:id="39"/>
    <w:bookmarkStart w:name="z49" w:id="40"/>
    <w:p>
      <w:pPr>
        <w:spacing w:after="0"/>
        <w:ind w:left="0"/>
        <w:jc w:val="both"/>
      </w:pPr>
      <w:r>
        <w:rPr>
          <w:rFonts w:ascii="Times New Roman"/>
          <w:b w:val="false"/>
          <w:i w:val="false"/>
          <w:color w:val="000000"/>
          <w:sz w:val="28"/>
        </w:rPr>
        <w:t>
      3) если в течение десяти минут после увеличения текущего размера подписного бонуса ни один из участников не подтвердит свое желание приобрести объект путем увеличения текущего размера подписного бонуса, то победителем признается участник, последним подтвердивший свое желание приобрести объект, а аукцион по данному объекту признается состоявшимся.</w:t>
      </w:r>
    </w:p>
    <w:bookmarkEnd w:id="40"/>
    <w:bookmarkStart w:name="z50" w:id="41"/>
    <w:p>
      <w:pPr>
        <w:spacing w:after="0"/>
        <w:ind w:left="0"/>
        <w:jc w:val="both"/>
      </w:pPr>
      <w:r>
        <w:rPr>
          <w:rFonts w:ascii="Times New Roman"/>
          <w:b w:val="false"/>
          <w:i w:val="false"/>
          <w:color w:val="000000"/>
          <w:sz w:val="28"/>
        </w:rPr>
        <w:t>
      4) если на момент завершения аукциона в 17:00 часов победитель аукциона не определен, то победителем признается участник, последним подтвердивший свое желание приобрести объект, и аукцион по данному объекту признается состоявшимся.</w:t>
      </w:r>
    </w:p>
    <w:bookmarkEnd w:id="41"/>
    <w:bookmarkStart w:name="z51" w:id="42"/>
    <w:p>
      <w:pPr>
        <w:spacing w:after="0"/>
        <w:ind w:left="0"/>
        <w:jc w:val="both"/>
      </w:pPr>
      <w:r>
        <w:rPr>
          <w:rFonts w:ascii="Times New Roman"/>
          <w:b w:val="false"/>
          <w:i w:val="false"/>
          <w:color w:val="000000"/>
          <w:sz w:val="28"/>
        </w:rPr>
        <w:t>
      Торги по объекту ведутся до максимально подтвержденного размера подписного бонуса одним из участников. Аукцион, в котором зарегистрировался только один участник, признается состоявшимся, если участник подтвердил стартовый размер подписного бонуса.</w:t>
      </w:r>
    </w:p>
    <w:bookmarkEnd w:id="42"/>
    <w:bookmarkStart w:name="z52" w:id="43"/>
    <w:p>
      <w:pPr>
        <w:spacing w:after="0"/>
        <w:ind w:left="0"/>
        <w:jc w:val="both"/>
      </w:pPr>
      <w:r>
        <w:rPr>
          <w:rFonts w:ascii="Times New Roman"/>
          <w:b w:val="false"/>
          <w:i w:val="false"/>
          <w:color w:val="000000"/>
          <w:sz w:val="28"/>
        </w:rPr>
        <w:t>
      Итоги аукциона по каждому проданному объекту оформляются протоколом об итогах аукциона, который подписывается на веб-портале реестра компетентным органом с ЭЦП в день проведения аукциона.</w:t>
      </w:r>
    </w:p>
    <w:bookmarkEnd w:id="43"/>
    <w:bookmarkStart w:name="z53" w:id="44"/>
    <w:p>
      <w:pPr>
        <w:spacing w:after="0"/>
        <w:ind w:left="0"/>
        <w:jc w:val="both"/>
      </w:pPr>
      <w:r>
        <w:rPr>
          <w:rFonts w:ascii="Times New Roman"/>
          <w:b w:val="false"/>
          <w:i w:val="false"/>
          <w:color w:val="000000"/>
          <w:sz w:val="28"/>
        </w:rPr>
        <w:t>
      Протокол об итогах аукциона является документом, фиксирующим итоги аукциона и обязательства по оплате размера подписного бонуса, подтвержденного участником.";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55" w:id="45"/>
    <w:p>
      <w:pPr>
        <w:spacing w:after="0"/>
        <w:ind w:left="0"/>
        <w:jc w:val="both"/>
      </w:pPr>
      <w:r>
        <w:rPr>
          <w:rFonts w:ascii="Times New Roman"/>
          <w:b w:val="false"/>
          <w:i w:val="false"/>
          <w:color w:val="000000"/>
          <w:sz w:val="28"/>
        </w:rPr>
        <w:t>
      "31. Подписной бонус подлежит уплате на электронный кошелек победителем не позднее двадцати рабочих дней со дня подписания протокола об итогах аукциона.";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57" w:id="46"/>
    <w:p>
      <w:pPr>
        <w:spacing w:after="0"/>
        <w:ind w:left="0"/>
        <w:jc w:val="both"/>
      </w:pPr>
      <w:r>
        <w:rPr>
          <w:rFonts w:ascii="Times New Roman"/>
          <w:b w:val="false"/>
          <w:i w:val="false"/>
          <w:color w:val="000000"/>
          <w:sz w:val="28"/>
        </w:rPr>
        <w:t>
      "35. Уплата окончательного размера подписного бонуса производится непосредственно участником посредством пополнения электронного кошелька и последующего подписания им в ЕПН заявления на перечисление окончательного размера подписного бонуса в бюджет.";</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59" w:id="47"/>
    <w:p>
      <w:pPr>
        <w:spacing w:after="0"/>
        <w:ind w:left="0"/>
        <w:jc w:val="both"/>
      </w:pPr>
      <w:r>
        <w:rPr>
          <w:rFonts w:ascii="Times New Roman"/>
          <w:b w:val="false"/>
          <w:i w:val="false"/>
          <w:color w:val="000000"/>
          <w:sz w:val="28"/>
        </w:rPr>
        <w:t>
      "36. Уведомление участника о переходе к нему приоритета и обязательств формируется компетентным органом в ЕПН и автоматически размещается в личном кабинете участника на веб-портале реестра.".</w:t>
      </w:r>
    </w:p>
    <w:bookmarkEnd w:id="47"/>
    <w:bookmarkStart w:name="z60" w:id="48"/>
    <w:p>
      <w:pPr>
        <w:spacing w:after="0"/>
        <w:ind w:left="0"/>
        <w:jc w:val="both"/>
      </w:pPr>
      <w:r>
        <w:rPr>
          <w:rFonts w:ascii="Times New Roman"/>
          <w:b w:val="false"/>
          <w:i w:val="false"/>
          <w:color w:val="000000"/>
          <w:sz w:val="28"/>
        </w:rPr>
        <w:t>
      2. Департаменту недропользования Министерства промышленности и строительства Республики Казахстан в установленном законодательством Республики Казахстан порядке обеспечить:</w:t>
      </w:r>
    </w:p>
    <w:bookmarkEnd w:id="48"/>
    <w:bookmarkStart w:name="z61" w:id="4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9"/>
    <w:bookmarkStart w:name="z62" w:id="50"/>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 после его официального опубликования.</w:t>
      </w:r>
    </w:p>
    <w:bookmarkEnd w:id="50"/>
    <w:bookmarkStart w:name="z63" w:id="5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1"/>
    <w:bookmarkStart w:name="z64" w:id="52"/>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66" w:id="53"/>
      <w:r>
        <w:rPr>
          <w:rFonts w:ascii="Times New Roman"/>
          <w:b w:val="false"/>
          <w:i w:val="false"/>
          <w:color w:val="000000"/>
          <w:sz w:val="28"/>
        </w:rPr>
        <w:t>
      "СОГЛАСОВАН"</w:t>
      </w:r>
    </w:p>
    <w:bookmarkEnd w:id="5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7" w:id="54"/>
      <w:r>
        <w:rPr>
          <w:rFonts w:ascii="Times New Roman"/>
          <w:b w:val="false"/>
          <w:i w:val="false"/>
          <w:color w:val="000000"/>
          <w:sz w:val="28"/>
        </w:rPr>
        <w:t>
      "СОГЛАСОВАН"</w:t>
      </w:r>
    </w:p>
    <w:bookmarkEnd w:id="5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8" w:id="55"/>
      <w:r>
        <w:rPr>
          <w:rFonts w:ascii="Times New Roman"/>
          <w:b w:val="false"/>
          <w:i w:val="false"/>
          <w:color w:val="000000"/>
          <w:sz w:val="28"/>
        </w:rPr>
        <w:t>
      "СОГЛАСОВАН"</w:t>
      </w:r>
    </w:p>
    <w:bookmarkEnd w:id="5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