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62a2" w14:textId="48a6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мая 2025 года № 45. Зарегистрирован в Министерстве юстиции Республики Казахстан 30 мая 2025 года № 36172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электронная платформа закупок модернизации – информационно-коммуникационная платформа, предназначенная для централизованного сбора, обработки, хранения электронных информационных ресурсов, закупки товаров, работ и услуг, приобретения товаров у отечественных товаропроизводителей, заключения контрактов "под ключ", мониторинга реализации проектов в части национального проекта модернизации энергетического и коммунального секторов;";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финансовый оператор – акционерное общество "Национальный управляющий холдинг "Байтерек";";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144-1)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"144-1) технический оператор в сфере жилищных отношений и жилищно-коммунального хозяйства – акционерное общество "Казахстанский центр модернизации и развития жилищно-коммунального хозяйства";";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Изменение утвержденной тарифной сметы и утвержденной инвестиционной программы в рамках реализации национального проекта по модернизации энергетического и коммунального секторов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Изменение утвержденной тарифной сметы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374-1. Субъект обращается в ведомство уполномоченного органа одновременно с заявлением об изменении утвержденной тарифной сметы и инвестиционной программы.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374-2. При обращении с заявлением об изменении утвержденной тарифной сметы субъект представляет в ведомство уполномоченного органа проект тарифной сметы, по форме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изменений и материалы, обосновывающие внесение изменений в утвержденную тарифную смету.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374-3. С учетом согласования технического оператора в сфере жилищных отношений и жилищно-коммунального хозяйства, субъект направляет проекты тарифной сметы и инвестиционной программы на согласование в ведомство уполномоченного органа с целью оценки влияния проекта на тариф.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согласования либо отказа в согласовании проекта ведомством уполномоченного органа отражаются на электронной платформе закупок по модернизации.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374-4. При обращении с заявлением об изменении утвержденной тарифной сметы субъект представляет в ведомство уполномоченного органа: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тарифной сметы;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инвестиционной программы;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заключен"е о согласовании техническим оператором в сфере жилищных отношений и жилищно-коммунального хозяйства.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Изменение утвержденной инвестиционной программы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374-5. Заявление на изменение утвержденной инвестиционной программы представляется одновременно в ведомство уполномоченного органа и государственный орган, осуществляющий руководство в соответствующих отраслях, и (или) местный исполнительный орган.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374-6. При обращении с заявлением об изменении утвержденной инвестиционной программы субъект представляет в ведомство уполномоченного органа,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инвестиционной программы;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финансового оператора, в том числе индикатив с условиями финансирования, выданный банком;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технического оператора в сфере жилищных отношений и жилищно-коммунального хозяйства, в том числе согласованная проектно-сметная документация.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374-7. Сроки рассмотрения заявления на изменение утвержденной инвестиционной программы со дня ее представления составляют: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ведомством уполномоченного органа - не более двадцати рабочих дней;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руководство в соответствующей отрасли, и (или) местным исполнительным органом - не более десяти рабочих дней.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ведомством уполномоченного органа и государственным органом, осуществляющим руководство в соответствующей отрасли, и (или) местным исполнительным органом не продлевается.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374-8. В срок не позднее пяти рабочих дней со дня получения заявления на изменение утвержденной инвестиционной программы, ведомство уполномоченного органа уведомляет субъекта и государственный орган, осуществляющий руководство в соответствующих отраслях, и (или) местный исполнительный орган о принятии ее к рассмотрению либо об отказе в принятии ее к рассмотрению при подаче заявления на утверждение инвестиционной программы представление субъектом неполного пакета документов, указанных в пункте 374-6 настоящих Правил.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374-9. По результатам рассмотрения проекта инвестиционной программы, реализуемого в рамках национального проекта по модернизация энергетического и коммунального секторов: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осуществляющий руководство в соответствующей отрасли, и (или) местный исполнительный орган не позднее десяти рабочих дней со дня представления заявления на изменение утвержденной инвестиционной программы, направляет ведомству уполномоченного органа заключение о целесообразности или нецелесообразности принятия мероприятий инвестиционной программы субъекта;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не позднее, чем за семь рабочих дней до принятия решения направляет в государственный орган, осуществляющий руководство в соответствующей отрасли, и (или) местный исполнительный орган, подписанный проект решения об утверждении инвестиционной программы с приложением инвестиционной программы;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представления подписанного проекта решения об утверждении инвестиционной программы государственный орган, осуществляющий руководство в соответствующей отрасли и (или) местный исполнительный орган направляет ведомству уполномоченного органа решение об утверждении инвестиционной программы либо информирует о необходимости внесения изменений и (или) дополнений в подписанный проект решения об утверждении инвестиционной программы с приложением мотивированного заключения;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о целесообразности или нецелесообразности принятия мероприятий инвестиционной программы или подписанного проекта решения об утверждении инвестиционной программы государственным органом, осуществляющим руководство в соответствующей отрасли, и (или) местным исполнительным органом в сроки, предусмотренными в настоящем пункте, является основанием для "согласовано по умолчанию".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374-10. Расходы субъекта по выплатам вознаграждений и основного долга по привлеченным займам в рамках национального проекта по модернизации энергетического и коммунального секторов, не ограничиваются остаточной стоимостью основных средств и допустимым уровнем прибыли.";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"384-1. В случае направления на реализацию инвестиционной программы собственных средств субъекта, расходы на выплату вознаграждений для реализации инвестиционного проекта рассчитываются с учетом ставки, не превышающей ставки рефинансирования Национального Банка Республики Казахстан.";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"601. Изменение тарифа осуществляется по инициативе ведомства уполномоченного органа не более двух раз в год, и по инициативе субъекта не более одного раза в год.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изменения утвержденного ведомством уполномоченного органа тарифа до истечения его срока действия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чрезвычайной ситуации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утвержденной инвестиционной программы и (или) условий заключенного договора займа, затраты по которым предусмотрены в утвержденной инвестиционной программе в связи с реализацией государственных программ и (или) национальных проектов, а также Документов системы государственного планирования;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объемов предоставляемых регулируемых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себестоимости электрической энергии и воды собственного производства, используемых атомно-энергетическим комплексом при предоставлении регулируемых услуг по производству, передаче, распределению и (или) снабжению тепловой энергией и водоснабжению, связанное с изменением цены на газ и (или) его транспортировку;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несоблюдение показателей качества и надежности регулируемых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несоответствие деятельности субъекта, предоставляющего регулируемую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 на основании информации государственного органа по государственному энергетическому надзору и контролю;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недостижение показателей эффективности деятельности субъектов;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субъектами, за исключением субъектов,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от местных исполнительных органов, уполномоченного органа по управлению государственным имуществом, в том числе электрических сетей от других энергопередающих организаций,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передача субъекту в имущественный наем (аренду) или доверительное управление магистрального газопровода по маршруту "Кызылорда –Жезказган – Караганда – Темиртау – Астана".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 утвержденную тарифную смету до истечения его срока действия на основании, предусмотренным подпунктом 10) настоящего пункта Правил, в том числе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от других энергопередающих организаций, уполномоченным органом осуществляется не выше уровня прогноза социально-экономического развития на соответствующий год;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601-1 следующего содержания: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"601-1. В рамках национального проекта по модернизация энергетического и коммунального секторов субъект обращается в ведомство уполномоченного органа с дополнительной инициативой в течении года по предоставлению заявки на изменение утвержденного уполномоченным органом тарифа до истечения его срока действия по основанию, предусмотренному подпунктом 4) пункта 601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стимулирующего метода тарифного регулирования, субъект подает заявку на изменение утвержденного уполномоченным органом тарифа до истечения его срока действия в процессе ежегодной корректировки тарифов на следующий регуляторный год.";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"604. К заявке на изменение тарифа прилагаются: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 указанием причин изменения утвержденного ведомством уполномоченного органа тарифа до истечения его срока действия;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тарифной сметы в соответствии с Перечнем затрат, учитываемых и не учитываемых в тарифе, Правилами ограничения размеров затрат, учитываемых в тарифе, согласно настоящим Правилам. При этом в случае увеличения стоимости стратегических товаров в тарифной смете корректируются только статьи затрат, включающие использование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необходимость изменения утвержденного ведомством уполномоченного органа тарифа до истечения его срока действия;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документов, предусмотренных пунктом 374-6 настоящих Правил (в случае реализации национального проекта по модернизации энергетического и коммунального секторов).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стратегических товаров и (или) подлежащих государственному регулированию тарифов (цен) на транспортировку стратегических товаров к заявке на утверждение тарифа прилагаются конкурсная документация, решения конкурсных (тендерных) комиссий по закупке товаров, договора, счета-фактуры, расчеты уровня затрат, а также произведенные на основе типовых норм и нормативов, действующих в соответствующей отрасли (сфере), расчеты технических потерь, нормах расхода стратегического товара.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ведомством уполномоченного органа заявки об изменении тарифа до истечения его срока действия в случаях, предусмотренных: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подпунктами 1), 2), 3) и 11) пункта 601 настоящих Правил, составляет не более десяти рабочих дней со дня ее представления;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подпунктами 4), 5), 6) и 10) пункта 601 настоящих Правил, составляет не более тридцати рабочих дней со дня ее представления;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подпунктом 12) пункта 601 настоящих Правил, составляет не более девяноста рабочих дней со дня ее представления.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тарифа по инициативе ведомства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(копии договоров, актов выполненных работ, накладных, счет-фактур, пообъектный перечень основных средств и нематериальных активов с указанием балансовой и остаточной стоимости, срока службы, годовой амортизации).";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609-1 следующего содержания: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"609-1. Субъект представляет в ведомство уполномоченного органа копию кредитного соглашения с графиком погашения, заключенного в рамках реализации национального проекта по модернизации энергетического и коммунального секторов, не позднее чем за тридцать календарных дней после ввода в действие тарифа.";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630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на оплату труда производственного персонала при формировании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персонала, определенной исходя из среднемесячной заработной платы производственного персонала в регионе (в области, городе республиканского значения, столице), в котором субъект оказывает услуги согласно видам экономической деятельности, сложившейся по данным статистики за год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учитывается среднемесячная номинальная заработная плата в регионе (в области, городе республиканского значения, столице), в котором субъект оказывает услуги, сложившейся по данным статистики за год.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естественных монополий малой мощности расходы на оплату труда производственного персонала определяются на уровне не ниже двукратного минимального размера заработной платы, устанавливаемой ежегодно законом Республики Казахстан о республиканском бюджете на соответствующий финансовый год.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объектов, мощностей и реализации иных мероприятий,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расчеты потребности численности персонала, сырья, материалов, топлива, энергии и расчеты технических потерь, производятся на основе типовых норм и нормативов, действующих в соответствующей отрасли (сфере).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производственного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сложившейся по данным статистики за год или за четвертый квартал, предшествующей подаче заявки и определяется по формуле: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54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средневзвешенный показатель среднемесячной заработной платы по видам экономической деятельности;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p1</w:t>
      </w:r>
      <w:r>
        <w:rPr>
          <w:rFonts w:ascii="Times New Roman"/>
          <w:b w:val="false"/>
          <w:i w:val="false"/>
          <w:color w:val="000000"/>
          <w:sz w:val="28"/>
        </w:rPr>
        <w:t>, W</w:t>
      </w:r>
      <w:r>
        <w:rPr>
          <w:rFonts w:ascii="Times New Roman"/>
          <w:b w:val="false"/>
          <w:i w:val="false"/>
          <w:color w:val="000000"/>
          <w:vertAlign w:val="subscript"/>
        </w:rPr>
        <w:t>p2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заработная плата по видам экономической деятельности в i-ой регионе (в области, городе республиканского значения, столице) по данным статистики за год или за четвертый квартал, сложившиеся с начала года, предшествующей подаче заявки;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p1</w:t>
      </w:r>
      <w:r>
        <w:rPr>
          <w:rFonts w:ascii="Times New Roman"/>
          <w:b w:val="false"/>
          <w:i w:val="false"/>
          <w:color w:val="000000"/>
          <w:sz w:val="28"/>
        </w:rPr>
        <w:t>, P</w:t>
      </w:r>
      <w:r>
        <w:rPr>
          <w:rFonts w:ascii="Times New Roman"/>
          <w:b w:val="false"/>
          <w:i w:val="false"/>
          <w:color w:val="000000"/>
          <w:vertAlign w:val="subscript"/>
        </w:rPr>
        <w:t>p2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задействованная численность субъекта в i-ой регионе (в области, городе республиканского значения, столице) за год или за четвертый квартал, сложившиеся с начала года, предшествующей подаче заявки.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производственного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предшествующий подаче заявки и (или)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и (или) над средневзвешенным показателем среднемесячной заработной платы, определенным настоящими Правилами,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производственного персонала субъекта естественной монополии малой мощности,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уровнем двукратного минимального размера заработной платы, устанавливаемой ежегодно законом Республики Казахстан о республиканском бюджете на соответствующий финансовый год,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631 изложить в следующей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административного персонала, определенной исходя из среднемесячной заработной платы административного персонала в регионе (в области, городе республиканского значения, столице), в котором субъект оказывает услуги согласно видам экономической деятельности, сложившейся по данным статистики за год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учитывается среднемесячная номинальная заработная плата в регионе (в области, городе республиканского значения, столице), в котором субъект оказывает услуги, сложившейся по данным статистики за год.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административного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сложившейся по данным статистики за год или за четвертый квартал, сложившиеся с начала года, предшествующей подаче заявки и определяется по формуле: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54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средневзвешенный показатель среднемесячной заработной платы по видам экономической деятельности;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p1</w:t>
      </w:r>
      <w:r>
        <w:rPr>
          <w:rFonts w:ascii="Times New Roman"/>
          <w:b w:val="false"/>
          <w:i w:val="false"/>
          <w:color w:val="000000"/>
          <w:sz w:val="28"/>
        </w:rPr>
        <w:t>, W</w:t>
      </w:r>
      <w:r>
        <w:rPr>
          <w:rFonts w:ascii="Times New Roman"/>
          <w:b w:val="false"/>
          <w:i w:val="false"/>
          <w:color w:val="000000"/>
          <w:vertAlign w:val="subscript"/>
        </w:rPr>
        <w:t>p2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заработная плата по видам экономической деятельности в i-ой регионе (в области, городе республиканского значения, столице) по данным статистики за год или за четвертый квартал, сложившиеся с начала года, предшествующей подаче заявки;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p1</w:t>
      </w:r>
      <w:r>
        <w:rPr>
          <w:rFonts w:ascii="Times New Roman"/>
          <w:b w:val="false"/>
          <w:i w:val="false"/>
          <w:color w:val="000000"/>
          <w:sz w:val="28"/>
        </w:rPr>
        <w:t>, P</w:t>
      </w:r>
      <w:r>
        <w:rPr>
          <w:rFonts w:ascii="Times New Roman"/>
          <w:b w:val="false"/>
          <w:i w:val="false"/>
          <w:color w:val="000000"/>
          <w:vertAlign w:val="subscript"/>
        </w:rPr>
        <w:t>p2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задействованная численность субъекта в i-ой регионе (в области, городе республиканского значения, столице) за год или за четвертый квартал, сложившиеся с начала года, предшествующей подаче заявки.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заработной платы административного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административного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 или за четвертый квартал, сложившиеся с начала года, предшествующий подаче заявки и (или) над среднемесячной номинальной заработной платой в регионе (в области, городе республиканского значения, столице), в котором субъект оказывает услуги, сложившейся по данным статистики за год и (или) над средневзвешенным показателем среднемесячной заработной платы, определенным настоящими Правилами, учитывается заработная плата административного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Казахстан.";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633-1 следующего содержания: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"633-1. В целях обеспечения возврата заемных средств,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в рамках реализации национального проекта национального проекта по модернизации энергетического и коммунального секторов субъектом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уполномоченный орган обеспечивает включение затрат в тариф на предстоящий период его утверждения и в последующих периодах утверждения тарифа до исполнения субъектом обязательств по погашению долга.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объем затрат в утвержденном тарифе по привлеченным займам субъекта не подлежит изменению, за исключением случаев изменения условий договора займа.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 приоритетном порядке исполняет обязательства по договору займа при исполнении мероприятий утвержденной инвестиционной программы и тарифной сметы в рамках реализации национального проекта по модернизации энергетического и коммунального секторов.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вышеуказанных обязательств является основанием для отказа в изменении утвержденного ведомством уполномоченного органа тарифа до истечения его срока действия на основании, определенного подпунктом 1) пункта 601 настоящих Правил.";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"637. Ведомство уполномоченного органа при расчете тарифа определяет допустимый уровень прибыли как произведение ставки прибыли на величину регулируемой базы задействованных активов, определяемой в соответствии с Правилами определения допустимого уровня прибыли субъекта согласно главе 11 настоящих Правил.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прибыли, включаемый в тариф, ограничивается с учетом средств, необходимых для реализации инвестиционной программы, за исключением прибыли, включаемой в тариф субъектов, пятьдесят и более процентов голосующих акций (долей участия) которых принадлежат национальному управляющему холдингу.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прибыли, включаемый в тариф субъектов, пятьдесят и более процентов голосующих акций (долей участия) которых принадлежат национальному управляющему холдингу ограничивается с учетом средств, необходимых для реализации инвестиционной программы, и для развития и эффективного функционирования субъекта,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осуществляются субъектами за счет собственных и (или) заемных средств. Источниками собственных средств являются прибыль (чистый доход) и амортизационные отчисления.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заемных средств осуществляется за счет прибыли (чистого дохода) и (или) амортизационных отчислений.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прибыли не ограничивается для реализации государственных программ и (или) национальных проектов, а также документов системы государственного планирования";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12-1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0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1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2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7-1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естественной монополии),</w:t>
      </w:r>
      <w:r>
        <w:br/>
      </w:r>
      <w:r>
        <w:rPr>
          <w:rFonts w:ascii="Times New Roman"/>
          <w:b/>
          <w:i w:val="false"/>
          <w:color w:val="000000"/>
        </w:rPr>
        <w:t>реализуемая в рамках национального проекта по модернизации 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и коммунального секторов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вида регулируемых услуг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и 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не приводящий к росту стоимости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и 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вознаграждения, реализуемые в рамках национального проекта по модернизации энергетического и коммунального секторов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 в рамках реализации национального проекта по модернизации энергетического и коммунального секторов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предоставляемых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Тенге/на единицу предоставляемых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осуществляемые за счет прибыли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не приводящий к росту стоимости основных средств,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и социальные отчисления, ОСМС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129" w:id="1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затраты при необходимости расширяются или дополняются;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ГСМ – горюче-смазочные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12-1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Инвестиционная программа 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естественной монополии),</w:t>
      </w:r>
      <w:r>
        <w:br/>
      </w:r>
      <w:r>
        <w:rPr>
          <w:rFonts w:ascii="Times New Roman"/>
          <w:b/>
          <w:i w:val="false"/>
          <w:color w:val="000000"/>
        </w:rPr>
        <w:t>реализуемая в рамках национального проекта по модернизации 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и коммунального секторов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деятельности)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инвестиционной программы: _________ 20__ –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инвестиционной программы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инвестиций, тысяч тенге (без налога на добавленную стоимость)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не относящаяся к регулируемым услугам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