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a9ae" w14:textId="115a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26 мая 2025 года № 174. Зарегистрирован в Министерстве юстиции Республики Казахстан 28 мая 2025 года № 36156</w:t>
      </w:r>
    </w:p>
    <w:p>
      <w:pPr>
        <w:spacing w:after="0"/>
        <w:ind w:left="0"/>
        <w:jc w:val="both"/>
      </w:pPr>
      <w:bookmarkStart w:name="z1" w:id="0"/>
      <w:r>
        <w:rPr>
          <w:rFonts w:ascii="Times New Roman"/>
          <w:b w:val="false"/>
          <w:i w:val="false"/>
          <w:color w:val="000000"/>
          <w:sz w:val="28"/>
        </w:rPr>
        <w:t>
      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"17. По заявкам текущего финансового года при наличии средств на выплату инвестиционных субсидий из местного бюджета в текущем финансовом году по решению администратора допустимо увеличение доли возмещения инвестиционных вложений по следующим паспортам проектов:</w:t>
      </w:r>
    </w:p>
    <w:p>
      <w:pPr>
        <w:spacing w:after="0"/>
        <w:ind w:left="0"/>
        <w:jc w:val="both"/>
      </w:pPr>
      <w:r>
        <w:rPr>
          <w:rFonts w:ascii="Times New Roman"/>
          <w:b w:val="false"/>
          <w:i w:val="false"/>
          <w:color w:val="000000"/>
          <w:sz w:val="28"/>
        </w:rPr>
        <w:t>
      до 50 (пятидесяти) %:</w:t>
      </w:r>
    </w:p>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для сельскохозяйственных кооперативов по следующим позициям: 2; 13.2; 14; 19; 25; 26; 28; 29; 30; 31; 36; 40; 42;</w:t>
      </w:r>
    </w:p>
    <w:p>
      <w:pPr>
        <w:spacing w:after="0"/>
        <w:ind w:left="0"/>
        <w:jc w:val="both"/>
      </w:pPr>
      <w:r>
        <w:rPr>
          <w:rFonts w:ascii="Times New Roman"/>
          <w:b w:val="false"/>
          <w:i w:val="false"/>
          <w:color w:val="000000"/>
          <w:sz w:val="28"/>
        </w:rPr>
        <w:t>
      по паспорту проекта № 1.1 "Приобретение приоритетных сельскохозяйственных машин и оборудования" для сельскохозяйственных кооперативов по следующим позициям: 1; 2; 5; 6; 7; 8; 10; 11;</w:t>
      </w:r>
    </w:p>
    <w:p>
      <w:pPr>
        <w:spacing w:after="0"/>
        <w:ind w:left="0"/>
        <w:jc w:val="both"/>
      </w:pPr>
      <w:r>
        <w:rPr>
          <w:rFonts w:ascii="Times New Roman"/>
          <w:b w:val="false"/>
          <w:i w:val="false"/>
          <w:color w:val="000000"/>
          <w:sz w:val="28"/>
        </w:rPr>
        <w:t>
      по паспорту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 для сельскохозяйственных кооперативов.</w:t>
      </w:r>
    </w:p>
    <w:p>
      <w:pPr>
        <w:spacing w:after="0"/>
        <w:ind w:left="0"/>
        <w:jc w:val="both"/>
      </w:pPr>
      <w:r>
        <w:rPr>
          <w:rFonts w:ascii="Times New Roman"/>
          <w:b w:val="false"/>
          <w:i w:val="false"/>
          <w:color w:val="000000"/>
          <w:sz w:val="28"/>
        </w:rPr>
        <w:t>
      При этом, один сельскохозяйственный кооператив может получить инвестиционные субсидии на приобретенную (приобретаемую) технику, машины и оборудование, до:</w:t>
      </w:r>
    </w:p>
    <w:p>
      <w:pPr>
        <w:spacing w:after="0"/>
        <w:ind w:left="0"/>
        <w:jc w:val="both"/>
      </w:pPr>
      <w:r>
        <w:rPr>
          <w:rFonts w:ascii="Times New Roman"/>
          <w:b w:val="false"/>
          <w:i w:val="false"/>
          <w:color w:val="000000"/>
          <w:sz w:val="28"/>
        </w:rPr>
        <w:t>
      трех тракторов с соответствующим количеством прицепного и навесного оборудования;</w:t>
      </w:r>
    </w:p>
    <w:p>
      <w:pPr>
        <w:spacing w:after="0"/>
        <w:ind w:left="0"/>
        <w:jc w:val="both"/>
      </w:pPr>
      <w:r>
        <w:rPr>
          <w:rFonts w:ascii="Times New Roman"/>
          <w:b w:val="false"/>
          <w:i w:val="false"/>
          <w:color w:val="000000"/>
          <w:sz w:val="28"/>
        </w:rPr>
        <w:t>
      двух зерноуборочных комбайнов и соответствующего количества навесного и прицепного оборудования;</w:t>
      </w:r>
    </w:p>
    <w:p>
      <w:pPr>
        <w:spacing w:after="0"/>
        <w:ind w:left="0"/>
        <w:jc w:val="both"/>
      </w:pPr>
      <w:r>
        <w:rPr>
          <w:rFonts w:ascii="Times New Roman"/>
          <w:b w:val="false"/>
          <w:i w:val="false"/>
          <w:color w:val="000000"/>
          <w:sz w:val="28"/>
        </w:rPr>
        <w:t>
      двух автомобилей для перевозки грузов сельскохозяйственного назначения и прицепа самосвального.</w:t>
      </w:r>
    </w:p>
    <w:p>
      <w:pPr>
        <w:spacing w:after="0"/>
        <w:ind w:left="0"/>
        <w:jc w:val="both"/>
      </w:pPr>
      <w:r>
        <w:rPr>
          <w:rFonts w:ascii="Times New Roman"/>
          <w:b w:val="false"/>
          <w:i w:val="false"/>
          <w:color w:val="000000"/>
          <w:sz w:val="28"/>
        </w:rPr>
        <w:t>
      Для сельскохозяйственных кооперативов не распространяется требование по минимальному нормативу на одну единицу техники (гектар/ условная голова крупного рогатого скота;</w:t>
      </w:r>
    </w:p>
    <w:p>
      <w:pPr>
        <w:spacing w:after="0"/>
        <w:ind w:left="0"/>
        <w:jc w:val="both"/>
      </w:pPr>
      <w:r>
        <w:rPr>
          <w:rFonts w:ascii="Times New Roman"/>
          <w:b w:val="false"/>
          <w:i w:val="false"/>
          <w:color w:val="000000"/>
          <w:sz w:val="28"/>
        </w:rPr>
        <w:t>
      до 80 (восьмидесяти) %:</w:t>
      </w:r>
    </w:p>
    <w:p>
      <w:pPr>
        <w:spacing w:after="0"/>
        <w:ind w:left="0"/>
        <w:jc w:val="both"/>
      </w:pPr>
      <w:r>
        <w:rPr>
          <w:rFonts w:ascii="Times New Roman"/>
          <w:b w:val="false"/>
          <w:i w:val="false"/>
          <w:color w:val="000000"/>
          <w:sz w:val="28"/>
        </w:rPr>
        <w:t>
      по паспорту проекта № 11 "Внедрение водосберегающих технологий орошения с созданием и расширением инфраструктуры для забора и подачи воды".";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3"/>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Start w:name="z7"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4"/>
    <w:bookmarkStart w:name="z8"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2025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1" w:id="6"/>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
        <w:gridCol w:w="153"/>
        <w:gridCol w:w="153"/>
        <w:gridCol w:w="153"/>
        <w:gridCol w:w="153"/>
        <w:gridCol w:w="153"/>
        <w:gridCol w:w="153"/>
        <w:gridCol w:w="153"/>
        <w:gridCol w:w="153"/>
        <w:gridCol w:w="153"/>
        <w:gridCol w:w="153"/>
        <w:gridCol w:w="153"/>
        <w:gridCol w:w="153"/>
        <w:gridCol w:w="153"/>
        <w:gridCol w:w="153"/>
        <w:gridCol w:w="153"/>
        <w:gridCol w:w="153"/>
        <w:gridCol w:w="153"/>
        <w:gridCol w:w="153"/>
        <w:gridCol w:w="153"/>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tblGrid>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 машин и оборудования"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гектар/условных голов крупного рогатого скота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Свеклоуборочный комбайн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 от 80 лошадиных сил (включительно) на гусеничном ходу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мощностью от 201 лошадиных сил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однорядный прицепной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(трехрядный) прицепной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комбайн для сбора ягодных культур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Протравитель семян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полей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лазерный планировщик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скрепер-планировщик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роторная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 валкоукладчик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 с емкостью ковша до 1,8 кубических метра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 (мобильная зерносушилка) от 49-145 тонн в сутки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 (прицепная):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10 тонн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10,1-25 тонн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25,1 тонн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самосвал с колесной формулой 6х4, с объемом двигателя от 10,90 литра до 15,0 литра, с двусторонним или трехсторонним типом разгрузки самосвальной платформы для перевозки сельскохозяйственных и прочих инертных грузов**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самосвальный с двусторонним типом разгрузки самосвальной платформы, для перевозки сельскохозяйственных и прочих инертных грузов, с двускатной ошиновкой, полной массой не более 16000 килограммов**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 (емкостью не менее 2,2 кубических метра)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 с объемом бака 600 литров и более***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 объемом 2000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2 дисками***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для пастбищ (генератор электропастуха, понижающий трансформатор, изоляторы, проволока не менее 2 рядов)****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авиационные системы (БАС) сельскохозяйственные многофункциональные (для распыления пестицидов, разбрасывания семян, удобрений и других)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вентиляторный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с шириной захвата 20 – 100 метров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шириной захвата 20 – 100 метров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Шарнирная сетка для ограждения сельскохозяйственных земель от потравы сайгаками*****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Столбы (металлические или бетонные) для фиксации шарнирной сетки для ограждения сельскохозяйственных земель от потравы сайгаками*****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В случае приобретения автомобиля для перевозки грузов сельскохозяйственного назначения необходим наличие земельной площади не менее 120 гектаров;</w:t>
            </w:r>
          </w:p>
          <w:p>
            <w:pPr>
              <w:spacing w:after="20"/>
              <w:ind w:left="20"/>
              <w:jc w:val="both"/>
            </w:pPr>
            <w:r>
              <w:rPr>
                <w:rFonts w:ascii="Times New Roman"/>
                <w:b w:val="false"/>
                <w:i w:val="false"/>
                <w:color w:val="000000"/>
                <w:sz w:val="20"/>
              </w:rPr>
              <w:t>** позиции 32, 33 субсидируются за счет средств из местного бюджета.</w:t>
            </w:r>
          </w:p>
          <w:p>
            <w:pPr>
              <w:spacing w:after="20"/>
              <w:ind w:left="20"/>
              <w:jc w:val="both"/>
            </w:pPr>
            <w:r>
              <w:rPr>
                <w:rFonts w:ascii="Times New Roman"/>
                <w:b w:val="false"/>
                <w:i w:val="false"/>
                <w:color w:val="000000"/>
                <w:sz w:val="20"/>
              </w:rPr>
              <w:t>*** субсидируется техника, приобретенная для закладки маточников многолетних насаждений плодово-ягодных культур и винограда.</w:t>
            </w:r>
          </w:p>
          <w:p>
            <w:pPr>
              <w:spacing w:after="20"/>
              <w:ind w:left="20"/>
              <w:jc w:val="both"/>
            </w:pPr>
            <w:r>
              <w:rPr>
                <w:rFonts w:ascii="Times New Roman"/>
                <w:b w:val="false"/>
                <w:i w:val="false"/>
                <w:color w:val="000000"/>
                <w:sz w:val="20"/>
              </w:rPr>
              <w:t>
**** максимальная допустимая стоимость ограждения для пастбищ не должна превышать 16 миллионов тенге на 1000 гектаров.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позиции 46, 47 субсидируются за счет средств из местного бюджета.</w:t>
            </w:r>
          </w:p>
          <w:p>
            <w:pPr>
              <w:spacing w:after="20"/>
              <w:ind w:left="20"/>
              <w:jc w:val="both"/>
            </w:pPr>
            <w:r>
              <w:rPr>
                <w:rFonts w:ascii="Times New Roman"/>
                <w:b w:val="false"/>
                <w:i w:val="false"/>
                <w:color w:val="000000"/>
                <w:sz w:val="20"/>
              </w:rPr>
              <w:t>
Диаметр проволоки сетки не менее 2,5 миллиметра, высота сетки не менее 1,6 метра.</w:t>
            </w:r>
          </w:p>
          <w:p>
            <w:pPr>
              <w:spacing w:after="20"/>
              <w:ind w:left="20"/>
              <w:jc w:val="both"/>
            </w:pPr>
            <w:r>
              <w:rPr>
                <w:rFonts w:ascii="Times New Roman"/>
                <w:b w:val="false"/>
                <w:i w:val="false"/>
                <w:color w:val="000000"/>
                <w:sz w:val="20"/>
              </w:rPr>
              <w:t>
Размеры ячейки сетки: ширина не более 100 миллиметров, высота не более 75 миллиметров.</w:t>
            </w:r>
          </w:p>
          <w:p>
            <w:pPr>
              <w:spacing w:after="20"/>
              <w:ind w:left="20"/>
              <w:jc w:val="both"/>
            </w:pPr>
            <w:r>
              <w:rPr>
                <w:rFonts w:ascii="Times New Roman"/>
                <w:b w:val="false"/>
                <w:i w:val="false"/>
                <w:color w:val="000000"/>
                <w:sz w:val="20"/>
              </w:rPr>
              <w:t>
Расстояние между столбами не более 3-5 метров.</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"Приобретение приоритетных сельскохозяйственных машин и оборудования" *</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приоритетных сельскохозяйственных машин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60 до 84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85 до 129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140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141 до 160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161 до 180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181 до 300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301 до 430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до 539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540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 с двигателем PowerTech™, и/или системой телематики JDLink™, и/или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мощностью до 129 лошадиных сил (включительно)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150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151 до 220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221 до 279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280 до 430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201 - 400 лошадиных 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 с двигателем PowerTech™, системой телематики JDLink™,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539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540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249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250 до 299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359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360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 с двигателем PowerTech™ и/или системой телематики JDLink™, и/или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299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449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450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200 до 449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 с двигателем PowerTech™ и системой телематики JDLink™, компонентами пропускного тракта с технологией Dura Line™.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500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501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с двигателем PowerTech™ и (или) системой телематики JDLink™, с рядковыми элементами по сбору хлопка PRO12 или MR16 или MR12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500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501 лошадиных сил (включительно)</w:t>
            </w:r>
          </w:p>
          <w:p>
            <w:pPr>
              <w:spacing w:after="20"/>
              <w:ind w:left="20"/>
              <w:jc w:val="both"/>
            </w:pPr>
            <w:r>
              <w:rPr>
                <w:rFonts w:ascii="Times New Roman"/>
                <w:b w:val="false"/>
                <w:i w:val="false"/>
                <w:color w:val="000000"/>
                <w:sz w:val="20"/>
              </w:rPr>
              <w:t>
(с двигателем PowerTech™ и системой телематики JDLink™, рядковые элементы по сбору хлопка MR16 и cо встроенной автоматической камерой прессования хлопка и упаковки в рулоны, покрытые пленкой TamaWrap+™ и системой контроля процесса тюкования Cotton Pro (HID, Cotton Pro), с монитором управления CommandCenter™ G5Plus, функцией автоматического вождения по рядкам AutoTrac™ RowSense™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 зерна и зернобобовых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сеялка/посевной комплекс: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со стойками для сошников TruPosition™ или сошниками ConservaPak™ или сошниками ProSeries™, система контроля забивания семяпроводов RelativeFlow™. Бункер для семян из пластика, конвейерный тип транспортера, высевающий аппарат с дозирующими высевающими катушками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пневматическая сеялка /посевной комплекс: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зерновая сеялка с двухдисковым сошником или сошником ProSeries™, комбинированным бункером для семян и удобрений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точного высева с высевающей секцией MaxEmerge или ExactEmerge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 рядов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рядов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тонн в час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20,1-40 тонн в час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40,1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предварительной очистки зерна до 150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очистки зерна барабанного типа до 60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40 до 60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60 до 120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ленточный, производительность от 100-до 200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скребковый, производительность от 100-до 200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зерновая, производительность от 50-до 200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Аэродинамическая сортировальная машина, производительность от 10 до 30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пневмосортировальный, производительность до 10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Винтовой конвейер производительность 60 тонн/час длина 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Триерный блок, производительность от 8 до 12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2,1-4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4,1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 каток гладкий водоналивной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культиватор со стойками TruPosition™ и тандемные колҰса для копирования рельефа Walk-Over, и (или) с регулировкой глубины в одной точке Single Point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 комбинированное орудие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8,9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с мотовилом с композитными пальцами и/или c системой автоматической скорости мотовила Dial-a-Speed и/или с системой копирования рельефа Active Header Control/HydroFlex/Active Header Float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7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7,1 до 8,9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до 12,9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от13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для комбайна с контролем управления высоты - cистема копирования рельефа HCU/AHC, пластиковыми пальцами ленты подборщика, системой автоматической скорости ленты Dial-a-Speed и/или системой амортизации FieldGlide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 с технологией контроля глубины TruSet™ и (или) с регулировкой глубины в одной точке Single Рoint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9,9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снегопах, валкообразователь, валкоукладчик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 совместимый с тракторами оборудованных функцией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 с фиксированной камерой прессования, с системой предварительного измельчения MaxiCut HC 2,2 м или со стандартным подборщиком 1,79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 с системой регулировки смещения, централизованная система смазки узловязателей; очистной вентилятор узловязателя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зеленых кормов (для силоса, сенажа): с упаковкой в пленку и внесением консервантов B-Wrap, с системой взвешивания и измерением влажности и система контроля параметров работы СommandCenter, уникальная система обвязки CoverEdge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4-5,9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косилки с навигационной системой AutoTrac™, системой автоматической скорости мотовила Dial-a-Speed, системой передвижения столов и автоматическим реверсированием лент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1501-2400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2401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опрыскивающего оборудования (для установки на транспортное шасси)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системой распыления раствора с функциями AutoFill и AutoDiluter системой стабилизации штанги BoomTrac™ или TerrainControl Pro™/TerrainCommand Pro™, дисплей управления системами CommandCenter™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с двигателем PowerTech™ и системой телематики JDLink™, система стабилизации штанги BoomTrac™ или TerrainControl Pro™ / Terrain Command Pro™, навигационной системой AutoTrac™, дисплей управления системами Command Center™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до 3000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3001 до 5999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6000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смешивающий комплекс для средств защиты растений, производительность насоса от 200 до 2000 литров в минуту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Смешивающий комплекс для средств защиты растений, производительность насоса от 200 до 2000 литров в минуту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 машина для внесения жидких удобрений, объем до 8001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разбрасыватель удобрений с двигателем PowerTech™ и системой телематики JDLink™, навигационной системой AutoTrac™, дисплей управления системами CommandCenter™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в максимальной допустимой стоимости для расчета субсидий на зерноуборочные комбайны предусмотрена стоимость жатки и (или) платформа подборщика. В случае приобретения зерноуборочного комбайна без жатки и (или) платформа подборщика допускается расчет субсидии, без учета стоимости жатки и (или) платформа подборщика.</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"Приобретение навесной и прицепной сельскохозяйственной техники"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для посева зерна и зернобобовых культур: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3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3.1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Пневматическая/посевной комплекс:</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6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6.1-12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12.1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4,0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4,1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6,0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12,1-20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6-9 метров: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9,1 метра: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 косилки дисковая: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8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8,1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до 4,0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от 4,1 метров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*субсидирование осуществляется по технике, машинам и оборудованию, приобретенным до 25 мая 2024 года (включительно).</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 с системой взвешивания</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75 лошадиных сил</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115 лошадиных сил с системой взвешивания</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 с системой взвешивания</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сеялка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килограммов/час</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счетчик семян</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измельчитель</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посевного материала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машина для бережной очистки и сортировки семян до 50 килограммов/час</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Субсидируются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Законом Республики Казахстан "О семеноводстве" (далее – Закон о семеноводстве).</w:t>
            </w:r>
          </w:p>
          <w:p>
            <w:pPr>
              <w:spacing w:after="20"/>
              <w:ind w:left="20"/>
              <w:jc w:val="both"/>
            </w:pPr>
            <w:r>
              <w:rPr>
                <w:rFonts w:ascii="Times New Roman"/>
                <w:b w:val="false"/>
                <w:i w:val="false"/>
                <w:color w:val="000000"/>
                <w:sz w:val="20"/>
              </w:rPr>
              <w:t>
**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Одна единица селекционной техники рассчитывается на каждые 20 гектаров площади питомников испытания потомств и питомников размножения. Субсидирование следующей единицы техники одного вида допускается при превышении площади на 50 % от установленного норматива.</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оборудования,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(первичный сепаратор, решетный стан, вторичный сепаратор, фотосепаратор**, дражератор**,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Законом о семеноводстве;</w:t>
            </w:r>
          </w:p>
          <w:p>
            <w:pPr>
              <w:spacing w:after="20"/>
              <w:ind w:left="20"/>
              <w:jc w:val="both"/>
            </w:pPr>
            <w:r>
              <w:rPr>
                <w:rFonts w:ascii="Times New Roman"/>
                <w:b w:val="false"/>
                <w:i w:val="false"/>
                <w:color w:val="000000"/>
                <w:sz w:val="20"/>
              </w:rPr>
              <w:t>
** приобретение оборудования при необходимости.</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с предельно допустимой глубиной подлежащей субсидированию – не более 50 метров;</w:t>
            </w:r>
          </w:p>
        </w:tc>
        <w:tc>
          <w:tcPr>
            <w:tcW w:w="0" w:type="auto"/>
            <w:gridSpan w:val="4"/>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пустынных и полупустынных зон – не более 375 метров</w:t>
            </w:r>
          </w:p>
        </w:tc>
        <w:tc>
          <w:tcPr>
            <w:tcW w:w="0" w:type="auto"/>
            <w:gridSpan w:val="4"/>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*Площадь обводнения одного колодца составляет до 2 000 гектаров пастбищ.</w:t>
            </w:r>
          </w:p>
          <w:p>
            <w:pPr>
              <w:spacing w:after="20"/>
              <w:ind w:left="20"/>
              <w:jc w:val="both"/>
            </w:pPr>
            <w:r>
              <w:rPr>
                <w:rFonts w:ascii="Times New Roman"/>
                <w:b w:val="false"/>
                <w:i w:val="false"/>
                <w:color w:val="000000"/>
                <w:sz w:val="20"/>
              </w:rPr>
              <w:t>
** Наличие у инвестора не менее 50 условных голов крупного рогатого скота на один колодец на момент подачи заявки на субсидирование.</w:t>
            </w:r>
          </w:p>
          <w:p>
            <w:pPr>
              <w:spacing w:after="20"/>
              <w:ind w:left="20"/>
              <w:jc w:val="both"/>
            </w:pPr>
            <w:r>
              <w:rPr>
                <w:rFonts w:ascii="Times New Roman"/>
                <w:b w:val="false"/>
                <w:i w:val="false"/>
                <w:color w:val="000000"/>
                <w:sz w:val="20"/>
              </w:rPr>
              <w:t>
При строительстве трубчатого колодца (скважины) диаметр трубы должен быть не менее 168 миллиметров и толщина стены трубы не менее 5 миллиметров, за исключением колодцев построенных до 1 января 2024 года.</w:t>
            </w:r>
          </w:p>
          <w:p>
            <w:pPr>
              <w:spacing w:after="20"/>
              <w:ind w:left="20"/>
              <w:jc w:val="both"/>
            </w:pPr>
            <w:r>
              <w:rPr>
                <w:rFonts w:ascii="Times New Roman"/>
                <w:b w:val="false"/>
                <w:i w:val="false"/>
                <w:color w:val="000000"/>
                <w:sz w:val="20"/>
              </w:rPr>
              <w:t>
Обязательным пунктом в договоре является гарантия подрядчика по обеспечению в течение года дебета воды, указанного в паспорте объекта.</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 расширение объектов для откорма скота"</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техники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крупного рогатого скота, кормушками с бетонными площадками шириной не менее 3 метров (из расчета на 1 голову от 30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 помещений/площадкой для хранения от 5 000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крупного рогатого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овец, кормушками, твердыми площадками (из расчета на 1 голову – не менее 10 сантиметров кормового стола) или переносным устройством для кормления концентрированным кормом,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площадкой для хранения от 1 000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 для перевозки скота, один на тысячу условных голов крупного рогатого скота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1-единица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 для перевозки скота, один на тысячу голов условных голов крупного рогатого скота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"Создание и расширение объектов для выращивания крупного рогатого скота/коз молочного направления"</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Здание коровника, оснащенного оборудованием: боксы для коров, кормовые столы с фиксацией (при необходимости), ограждения внутренних проходов, приспособления для чесания коров, оборудования вентиляции (при необходимости), водоснабжения, система для сепарации жидкого навоза (при необходимости), лечебно-санитарным пунктом; роботизированная доильная установка или доильный зал, оснащенный автоматизированной доильной установкой (карусель, параллель, елочка, тандем) и/или молокопровод, танкер охладитель молока, система контроля физического состояния коров; телятник, оснащенный клетками для содержания телят; силосные траншеи. Стоимость инвестиционного проекта определяется согласно проектно-сметной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молочно-товарной фермы от 50 голов маточного поголовья: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Стойловое оборудование для содержания коров (перегородка)</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забор (хэдлок)</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(резиновое покрытие пола)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коз молочного направления мощностью от 600 голов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для содержания коз, доильного зала, кормоцеха, родильного помещения с профилакторием; здание для содержания козлов-производителей с выгульной площадкой. Стоимость инвестиционного проекта определяется согласно проектно-сметной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убоя скота и переработки мяса"</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ветсанэкспертизы. Стоимость инвестиционного проекта определяется согласно проектно-сметной документации: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(цех) по производству колбасных изделий и (или) полуфабрикатов и (или) консервов от 5 тонн в сутки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 Стоимость инвестиционного проекта определяется согласно проектно-сметной документации: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в сутки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на 1 мясоперерабатывающее предприятие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техники/машин/ оборудования, тенге</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производственной мощностью от 1 тонны в сутки с технологическим оборудованием для переработки молока, фасовки и хранения молочных продуктов. Стоимость инвестиционного проекта определяется согласно проектно-сметной документации: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сельскохозяйственных кооперативов, заготовительных организаций, молокоприемных пунктов: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молочный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водонагреватель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лабораторного оборудования для сельскохозяйственных кооперативов, заготовительных организаций, молокоприемных пунктов и молокоперерабатывающих предприятий: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определения качества и безопасности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образцов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перевозки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молокопродуктов)*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до 10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от 10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производства сухого молока и/или молочной сыворотки для расширения действующих молокоперерабатывающих предприятий (вальцовая сушилка, дробление или распылительная установка)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на 1 молокоперерабатывающий завод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"Приобретение оборудования для пункта заготовки шерсти"</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тенге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(на 1 единицу)</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стригальный пункт (двухосный автоприцеп с раскрывающимся кузовом, сортировочная сетка, пресс, экспресс оборудования для определения тонины, штабелер).</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предприятий по переработке шкур и шерсти сельскохозяйственных животных"</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первичной переработке шерсти от 350 килограммов /час</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глубокой переработке шерсти от 1000 килограммов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первичной переработке шкур КРС от 600 штук в сутки, МРС – 2000 штук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глубокой переработке шкур КРС от 2 000 штук в сутки, МРС – 5 000 штук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c долей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"Внедрение водосберегающих технологий орошения с созданием и расширением инфраструктуры для забора и подачи воды"</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измерения, тенге</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для забора и подачи воды: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дождевальных машин кругового и фронтального действия, стационарной или быстро разборной системы дождевания (спринклерная система), а также оросительной системы капельного орошения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дождевальных машин барабанного типа</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Дождевальные машины фронтального и кругового действия</w:t>
            </w:r>
          </w:p>
        </w:tc>
        <w:tc>
          <w:tcPr>
            <w:tcW w:w="0" w:type="auto"/>
            <w:gridSpan w:val="8"/>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гектаров включительно</w:t>
            </w:r>
          </w:p>
        </w:tc>
        <w:tc>
          <w:tcPr>
            <w:tcW w:w="0" w:type="auto"/>
            <w:gridSpan w:val="8"/>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гектаров</w:t>
            </w:r>
          </w:p>
        </w:tc>
        <w:tc>
          <w:tcPr>
            <w:tcW w:w="0" w:type="auto"/>
            <w:gridSpan w:val="8"/>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барабанного типа</w:t>
            </w:r>
          </w:p>
        </w:tc>
        <w:tc>
          <w:tcPr>
            <w:tcW w:w="0" w:type="auto"/>
            <w:gridSpan w:val="8"/>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производительностью не более 25 гектаров (за исключением Китайской Народной Республики)</w:t>
            </w:r>
          </w:p>
        </w:tc>
        <w:tc>
          <w:tcPr>
            <w:tcW w:w="0" w:type="auto"/>
            <w:gridSpan w:val="8"/>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страны Китайской Народной Республики не более 12 гектаров</w:t>
            </w:r>
          </w:p>
        </w:tc>
        <w:tc>
          <w:tcPr>
            <w:tcW w:w="0" w:type="auto"/>
            <w:gridSpan w:val="8"/>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или быстро разборная система дождевания (спринклерная система)</w:t>
            </w:r>
          </w:p>
        </w:tc>
        <w:tc>
          <w:tcPr>
            <w:tcW w:w="0" w:type="auto"/>
            <w:gridSpan w:val="8"/>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система капельного орошения</w:t>
            </w:r>
          </w:p>
        </w:tc>
        <w:tc>
          <w:tcPr>
            <w:tcW w:w="0" w:type="auto"/>
            <w:gridSpan w:val="8"/>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проекта определяется согласно проектно-сметной документации (далее – ПСД). При этом в ПСД указывается наряду с созданием и расширением инфраструктуры для забора и подачи воды, также указывается раздел выбора вида внедряемых водосберегающих технологий. Вид экспертизы проектов определяется в соответствии Правилами определения общего порядка отнесения зданий и сооружений к технически и (или) технологически сложным объектам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 10666), по уровню ответственности.</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дождевальных машин, стационарной или быстро разборной системы дождевания (спринклерная система), оросительной системы капельного орошения, они субсидируются без разработки ПСД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Также предоставляются заводской паспорт происхождения водосберегающего оборудования.</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дождевальным машинам относятся: дождевальных машин кругового действия, фронтального действия, а также барабанного типа.</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**Инфраструктуре для забора и подачи воды относятся: водозаборное сооружение (при заборе воды из поверхностных водных объектов) или скважина (при заборе воды из подземных вод), насосную станцию (электрическую, дизельную или бензиновую), магистральный трубопровод или канал, разводящие сети, бассейн суточного или декадного регулирования (при необходимости), линию электропередач, трансформаторную подстанцию.</w:t>
            </w:r>
          </w:p>
          <w:p>
            <w:pPr>
              <w:spacing w:after="20"/>
              <w:ind w:left="20"/>
              <w:jc w:val="both"/>
            </w:pPr>
            <w:r>
              <w:rPr>
                <w:rFonts w:ascii="Times New Roman"/>
                <w:b w:val="false"/>
                <w:i w:val="false"/>
                <w:color w:val="000000"/>
                <w:sz w:val="20"/>
              </w:rPr>
              <w:t>
При этом допускается субсидирование по отдельным позициям из перечня инфраструктуры согласно проектно-сметной документации, при этом инфраструктура по отдельным позициям субсидируется по указанному кадастровому номеру не более 1 (одного) раза.</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подачи заявки от сельскохозяйственного кооператива или инвестора (услугополучателя), действующим на основании договора о совместной хозяйственной деятельности (далее – совместная деятельность) в соответствии с гражданским законодательством Республики Казахстан, допускается предоставление субсидии, с подтверждением наличия земельных участков сельскохозяйственного назначения на праве землепользования и (или) частной собственности зарегистрированных у членов сельскохозяйственного кооператива, а также у участников договора совместной деятельности с приложением копии договора о совместной хозяйственной деятельности.</w:t>
            </w:r>
          </w:p>
          <w:p>
            <w:pPr>
              <w:spacing w:after="20"/>
              <w:ind w:left="20"/>
              <w:jc w:val="both"/>
            </w:pPr>
            <w:r>
              <w:rPr>
                <w:rFonts w:ascii="Times New Roman"/>
                <w:b w:val="false"/>
                <w:i w:val="false"/>
                <w:color w:val="000000"/>
                <w:sz w:val="20"/>
              </w:rPr>
              <w:t>
При этом для расчета субсидии учитывается совокупная площадь орошаемых земель, зарегистрированных у членов сельскохозяйственного кооператива, а также у участников договора совместной деятельности.</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Затраты на приобретение системы капельного орошения для паспортов проектов № 12, 13 и 14 возмещается в рамках указанных паспортов проектов. При этом, создание инфраструктуры для забора и подачи воды возмещается в рамках паспорта проекта № 11.</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случае непосредственного (первичного) забора воды из поверхностных или подземных водных объектов после завершения и получения акта ввода объекта в эксплуатацию, сельскохозяйственный товаропроизводитель (далее – СХТП) обеспечивает наличие разрешения на специальное водопользование, опломбирование прибора учета воды, устанавливаемые на сооружениях или устройствах по забору или сбросу вод согласно Правилам оказания государственной услуги "Разрешение на специальное водопользование",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w:t>
            </w:r>
          </w:p>
          <w:p>
            <w:pPr>
              <w:spacing w:after="20"/>
              <w:ind w:left="20"/>
              <w:jc w:val="both"/>
            </w:pPr>
            <w:r>
              <w:rPr>
                <w:rFonts w:ascii="Times New Roman"/>
                <w:b w:val="false"/>
                <w:i w:val="false"/>
                <w:color w:val="000000"/>
                <w:sz w:val="20"/>
              </w:rPr>
              <w:t>
 В случае получение услуг по подаче поливной воды СХТП предоставляет договор на вторичное водопользование с водоподающей организацией в соответствии со статьей 69 Водного кодекса Республики Казахстан.</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случае освоения под орошение неорошаемых земель инвестор обеспечивает перевод сельскохозяйственных угодий из одного вида в другой (из неорошаемых в орошаемые) в соответствии со </w:t>
            </w:r>
            <w:r>
              <w:rPr>
                <w:rFonts w:ascii="Times New Roman"/>
                <w:b w:val="false"/>
                <w:i w:val="false"/>
                <w:color w:val="000000"/>
                <w:sz w:val="20"/>
              </w:rPr>
              <w:t>статьей 98</w:t>
            </w:r>
            <w:r>
              <w:rPr>
                <w:rFonts w:ascii="Times New Roman"/>
                <w:b w:val="false"/>
                <w:i w:val="false"/>
                <w:color w:val="000000"/>
                <w:sz w:val="20"/>
              </w:rPr>
              <w:t xml:space="preserve"> Земельного кодекса Республики Казахстан.</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Отдельное субсидирование капельных лент (капельных труб) не допускается</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Возмещение затрат на инфраструктуру для забора и подачи воды без внедрения водосберегающих технологий допускается, при этом СХТП обеспечивает внедрение водосберегающих оборудовании (с указанием вида технологии) в течение года со дня подписания акта ввода инфраструктуры.</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Возмещение затрат на водосберегающее оборудование без инфраструктуры допускается, при этом СХТП обеспечивает создание инфраструктуры в течение года со дня подписания акта ввода водосберегающего оборудования.</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"Строительство и расширение тепличного комплекса"</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(при необходимости), производства углекислого газа, зашторивания, технологию беспочвенного выращивания на искусственном субстрате (в случае отсутствия почвы для выращивания), автоматические системы малообъемного выращивания культур (капельное орошение, узлы подготовки питательных растворов, водоподготовка):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из пленки/поликарбоната:</w:t>
            </w:r>
          </w:p>
          <w:p>
            <w:pPr>
              <w:spacing w:after="20"/>
              <w:ind w:left="20"/>
              <w:jc w:val="both"/>
            </w:pPr>
            <w:r>
              <w:rPr>
                <w:rFonts w:ascii="Times New Roman"/>
                <w:b w:val="false"/>
                <w:i w:val="false"/>
                <w:color w:val="000000"/>
                <w:sz w:val="20"/>
              </w:rPr>
              <w:t>
1.1. Строительство.</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w:t>
            </w:r>
          </w:p>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1.2.Расширение.</w:t>
            </w:r>
          </w:p>
        </w:tc>
        <w:tc>
          <w:tcPr>
            <w:tcW w:w="0" w:type="auto"/>
            <w:gridSpan w:val="7"/>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w:t>
            </w:r>
          </w:p>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7"/>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Строительство</w:t>
            </w:r>
          </w:p>
        </w:tc>
        <w:tc>
          <w:tcPr>
            <w:tcW w:w="0" w:type="auto"/>
            <w:gridSpan w:val="7"/>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w:t>
            </w:r>
          </w:p>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7"/>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w:t>
            </w:r>
          </w:p>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"Закладка интенсивного яблоневого сада от 5 гектаров"</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 с количеством саженцев от 2000 до 5714 штук на 1 гектар***;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с применением системы капельного орошения; с использованием защитной сетки (противоградовая, солнцезащитная) из материала, не содержащего токсичных элементов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субсидирование защитной сетки (противоградовая, солнцезащитная) осуществляется по факту установки в течении четырех лет закладки сада, поданному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интенсивный яблоневый сад,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площадей земель под интенсивный яблоневый сад,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яблоневого сада составляет не менее 5 гектар субсидируется закладка яблоневого сада менее 5 гектар. Саженцы, просубсидированные в рамках настоящих Правил, не субсидируются в рамках Правил субсидирования повышения урожайности и качества продукции растениеводства (далее – Правила субсидирования повышения урожайности),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равно как саженцы, просубсидированные в рамках Правил субсидирования повышения урожайности не субсидируются в рамках настоящих Правил.</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"Закладка плодово-ягодных культур и винограда от 5 гектаров"</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осуществляется по следующей технологии: с использованием саженцев на средне- и высокорослых подвоях, посадочный материал должен быть свободным от болезней и вредителей; с применением шпалер (опор), включающих натяжные (основные) столбы, промежуточные столбы (высотой не менее 2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(при необходимости); с применением системы капельного орошения (за исключением яблони сорта Апорт); с количеством саженцев на 1 гектар***: плодовых семечковых культур – от 500 до 2000 штук; плодовых косточковых культур – от 200 до 2000 штук; орехоплодных культур от 100 до 500 штук; виноград – от 1150 до 2667 штук; ягодных культур – до 40 000 штук на 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7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отечественных саженцев: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(плодовых семечковых культур);</w:t>
            </w:r>
          </w:p>
        </w:tc>
      </w:tr>
      <w:tr>
        <w:trPr>
          <w:trHeight w:val="30" w:hRule="atLeast"/>
        </w:trPr>
        <w:tc>
          <w:tcPr>
            <w:tcW w:w="0" w:type="auto"/>
            <w:gridSpan w:val="7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(плодовых косточковых культур);</w:t>
            </w:r>
          </w:p>
        </w:tc>
      </w:tr>
      <w:tr>
        <w:trPr>
          <w:trHeight w:val="30" w:hRule="atLeast"/>
        </w:trPr>
        <w:tc>
          <w:tcPr>
            <w:tcW w:w="0" w:type="auto"/>
            <w:gridSpan w:val="7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(винограда);</w:t>
            </w:r>
          </w:p>
          <w:p>
            <w:pPr>
              <w:spacing w:after="20"/>
              <w:ind w:left="20"/>
              <w:jc w:val="both"/>
            </w:pPr>
            <w:r>
              <w:rPr>
                <w:rFonts w:ascii="Times New Roman"/>
                <w:b w:val="false"/>
                <w:i w:val="false"/>
                <w:color w:val="000000"/>
                <w:sz w:val="20"/>
              </w:rPr>
              <w:t>
4 500 000 (ягодных культур).</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импортных саженцев</w:t>
            </w:r>
          </w:p>
        </w:tc>
        <w:tc>
          <w:tcPr>
            <w:tcW w:w="0" w:type="auto"/>
            <w:gridSpan w:val="2"/>
            <w:vMerge/>
            <w:tcBorders>
              <w:top w:val="nil"/>
              <w:left w:val="single" w:color="cfcfcf" w:sz="5"/>
              <w:bottom w:val="single" w:color="cfcfcf" w:sz="5"/>
              <w:right w:val="single" w:color="cfcfcf" w:sz="5"/>
            </w:tcBorders>
          </w:tcP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(плодовых семечковых культур);</w:t>
            </w:r>
          </w:p>
          <w:p>
            <w:pPr>
              <w:spacing w:after="20"/>
              <w:ind w:left="20"/>
              <w:jc w:val="both"/>
            </w:pPr>
            <w:r>
              <w:rPr>
                <w:rFonts w:ascii="Times New Roman"/>
                <w:b w:val="false"/>
                <w:i w:val="false"/>
                <w:color w:val="000000"/>
                <w:sz w:val="20"/>
              </w:rPr>
              <w:t>
8 668 000 (плодовых косточковых культур);</w:t>
            </w:r>
          </w:p>
          <w:p>
            <w:pPr>
              <w:spacing w:after="20"/>
              <w:ind w:left="20"/>
              <w:jc w:val="both"/>
            </w:pPr>
            <w:r>
              <w:rPr>
                <w:rFonts w:ascii="Times New Roman"/>
                <w:b w:val="false"/>
                <w:i w:val="false"/>
                <w:color w:val="000000"/>
                <w:sz w:val="20"/>
              </w:rPr>
              <w:t>
1 841 000 (орехоплодных культур);</w:t>
            </w:r>
          </w:p>
          <w:p>
            <w:pPr>
              <w:spacing w:after="20"/>
              <w:ind w:left="20"/>
              <w:jc w:val="both"/>
            </w:pPr>
            <w:r>
              <w:rPr>
                <w:rFonts w:ascii="Times New Roman"/>
                <w:b w:val="false"/>
                <w:i w:val="false"/>
                <w:color w:val="000000"/>
                <w:sz w:val="20"/>
              </w:rPr>
              <w:t>
3 945 000 (виноград);</w:t>
            </w:r>
          </w:p>
          <w:p>
            <w:pPr>
              <w:spacing w:after="20"/>
              <w:ind w:left="20"/>
              <w:jc w:val="both"/>
            </w:pPr>
            <w:r>
              <w:rPr>
                <w:rFonts w:ascii="Times New Roman"/>
                <w:b w:val="false"/>
                <w:i w:val="false"/>
                <w:color w:val="000000"/>
                <w:sz w:val="20"/>
              </w:rPr>
              <w:t>
4 622 000 (ягодных культур);</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шпалерной системы включающую в себя шпалеры (столбы для опоры) и элементов крепления саженца к шпалере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2"/>
            <w:vMerge/>
            <w:tcBorders>
              <w:top w:val="nil"/>
              <w:left w:val="single" w:color="cfcfcf" w:sz="5"/>
              <w:bottom w:val="single" w:color="cfcfcf" w:sz="5"/>
              <w:right w:val="single" w:color="cfcfcf" w:sz="5"/>
            </w:tcBorders>
          </w:tcP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2"/>
            <w:vMerge/>
            <w:tcBorders>
              <w:top w:val="nil"/>
              <w:left w:val="single" w:color="cfcfcf" w:sz="5"/>
              <w:bottom w:val="single" w:color="cfcfcf" w:sz="5"/>
              <w:right w:val="single" w:color="cfcfcf" w:sz="5"/>
            </w:tcBorders>
          </w:tcP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2"/>
            <w:vMerge/>
            <w:tcBorders>
              <w:top w:val="nil"/>
              <w:left w:val="single" w:color="cfcfcf" w:sz="5"/>
              <w:bottom w:val="single" w:color="cfcfcf" w:sz="5"/>
              <w:right w:val="single" w:color="cfcfcf" w:sz="5"/>
            </w:tcBorders>
          </w:tcP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2"/>
            <w:vMerge/>
            <w:tcBorders>
              <w:top w:val="nil"/>
              <w:left w:val="single" w:color="cfcfcf" w:sz="5"/>
              <w:bottom w:val="single" w:color="cfcfcf" w:sz="5"/>
              <w:right w:val="single" w:color="cfcfcf" w:sz="5"/>
            </w:tcBorders>
          </w:tcP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2"/>
            <w:vMerge/>
            <w:tcBorders>
              <w:top w:val="nil"/>
              <w:left w:val="single" w:color="cfcfcf" w:sz="5"/>
              <w:bottom w:val="single" w:color="cfcfcf" w:sz="5"/>
              <w:right w:val="single" w:color="cfcfcf" w:sz="5"/>
            </w:tcBorders>
          </w:tcP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2"/>
            <w:vMerge/>
            <w:tcBorders>
              <w:top w:val="nil"/>
              <w:left w:val="single" w:color="cfcfcf" w:sz="5"/>
              <w:bottom w:val="single" w:color="cfcfcf" w:sz="5"/>
              <w:right w:val="single" w:color="cfcfcf" w:sz="5"/>
            </w:tcBorders>
          </w:tcP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2"/>
            <w:vMerge/>
            <w:tcBorders>
              <w:top w:val="nil"/>
              <w:left w:val="single" w:color="cfcfcf" w:sz="5"/>
              <w:bottom w:val="single" w:color="cfcfcf" w:sz="5"/>
              <w:right w:val="single" w:color="cfcfcf" w:sz="5"/>
            </w:tcBorders>
          </w:tcP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субсидирование защитной сетки (противоградовая, солнцезащитная) осуществляется по факту установки в течение четырех лет закладки сада, по 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земель под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(услугополучателем) под плодово-ягодных культуры и виноград составляет не менее 5 гектар субсидируется закладка плодово-ягодных культур и винограда менее 5 гектар. Саженцы, просубсидированные в рамках настоящих Правил, не субсидируются в рамках Правил субсидирования повышения урожайности, равно как саженцы, просубсидированные в рамках Правил субсидирования повышения урожайности не субсидируются в рамках Правил.</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"Создание и расширение объектов для производства мяса птицы мощностью от 5 тысяч тонн в год"</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этапной реализации субсидируются проекты на создание и расширение объектов для производства мяса птицы с первоначальным этапом мощности от 2 тысяч тонн в год.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В случае, если у предприятия имеется комбикормовый завод, и/или мобильный комбикормовый завод, то нет необходимости в строительстве кормоцеха.</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"Создание и расширение объектов для выращивания свиней мощностью от 1000 свиноматок"</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Свиноводческий комплекс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строительстве/расширении при модернизации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"Создание комбикормового завода"</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Комбикормовый завод (цех) мощностью от 3 тонн комбикормов/гранулированных 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и/или ж/д транспорт, технологическое оборудование для комбикормового завода, складов и силосов, необходимая техника и транспорт.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p>
            <w:pPr>
              <w:spacing w:after="20"/>
              <w:ind w:left="20"/>
              <w:jc w:val="both"/>
            </w:pPr>
            <w:r>
              <w:rPr>
                <w:rFonts w:ascii="Times New Roman"/>
                <w:b w:val="false"/>
                <w:i w:val="false"/>
                <w:color w:val="000000"/>
                <w:sz w:val="20"/>
              </w:rPr>
              <w:t>
135 000 000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 мощностью от 15 тонн в час, включающий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"Приобретение техники и оборудования для переработки птичьего помета, мощностью 50 тонн/сутки"</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племенного репродуктора в птицеводстве яичного и мясного направления"</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прародительского/ родительского стада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Птичники ремонтного молодняка</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ветеринарных объектов согласно пунктам 17.1.2 и 17.1.3 СНиП РК 3.02-11 "Животноводческие, птицеводческие и звероводческие здания и помещения" предусмотренных проектно-сметной документацией</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убойного цеха</w:t>
            </w:r>
          </w:p>
          <w:p>
            <w:pPr>
              <w:spacing w:after="20"/>
              <w:ind w:left="20"/>
              <w:jc w:val="both"/>
            </w:pPr>
            <w:r>
              <w:rPr>
                <w:rFonts w:ascii="Times New Roman"/>
                <w:b w:val="false"/>
                <w:i w:val="false"/>
                <w:color w:val="000000"/>
                <w:sz w:val="20"/>
              </w:rPr>
              <w:t>
(является не обязательным в случае наличия действующего объекта у инвестора (услугополучателя) или наличия заключенного договора аутсорсинга по убою птицы)</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p>
            <w:pPr>
              <w:spacing w:after="20"/>
              <w:ind w:left="20"/>
              <w:jc w:val="both"/>
            </w:pPr>
            <w:r>
              <w:rPr>
                <w:rFonts w:ascii="Times New Roman"/>
                <w:b w:val="false"/>
                <w:i w:val="false"/>
                <w:color w:val="000000"/>
                <w:sz w:val="20"/>
              </w:rPr>
              <w:t>
(является не обязательным в случае специализации репродуктора на производстве и реализации инкубационного яйца)</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инкубатора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яйце 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Цыплятовоз</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Минипогрузчик</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"Строительство и расширение зернохранилищ"</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зернохранилища для масличных культур с оборудованием, обеспечивающим следующие операции с зерном: приемка, подработка, очистка, обработка, сушка, хранение, внутреннее перемещение и отгрузка, от 5000 тонн хранения.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зернохранилища с оборудованием, обеспечивающим следующие операции с зерном: приемка, подработка, очистка, обработка, хранение, внутреннее перемещение и отгрузка, но не более 10 000 тонн.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"Строительство, расширение картофеле-овощехранилищ от 1 000 тонн"</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w:t>
            </w:r>
          </w:p>
          <w:p>
            <w:pPr>
              <w:spacing w:after="20"/>
              <w:ind w:left="20"/>
              <w:jc w:val="both"/>
            </w:pPr>
            <w:r>
              <w:rPr>
                <w:rFonts w:ascii="Times New Roman"/>
                <w:b w:val="false"/>
                <w:i w:val="false"/>
                <w:color w:val="000000"/>
                <w:sz w:val="20"/>
              </w:rPr>
              <w:t>
- с холодильным оборудованием – 50 %;</w:t>
            </w:r>
          </w:p>
          <w:p>
            <w:pPr>
              <w:spacing w:after="20"/>
              <w:ind w:left="20"/>
              <w:jc w:val="both"/>
            </w:pPr>
            <w:r>
              <w:rPr>
                <w:rFonts w:ascii="Times New Roman"/>
                <w:b w:val="false"/>
                <w:i w:val="false"/>
                <w:color w:val="000000"/>
                <w:sz w:val="20"/>
              </w:rPr>
              <w:t>
- с вентиляционным оборудованием – 40 %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 грузоподъемностью от 20 тонн:</w:t>
            </w:r>
          </w:p>
          <w:p>
            <w:pPr>
              <w:spacing w:after="20"/>
              <w:ind w:left="20"/>
              <w:jc w:val="both"/>
            </w:pPr>
            <w:r>
              <w:rPr>
                <w:rFonts w:ascii="Times New Roman"/>
                <w:b w:val="false"/>
                <w:i w:val="false"/>
                <w:color w:val="000000"/>
                <w:sz w:val="20"/>
              </w:rPr>
              <w:t>
седельный тягач*</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при комбинированном климат-контроле (с холодильным и вентиляционными оборудованиями) составляет 40 %.</w:t>
            </w:r>
          </w:p>
          <w:p>
            <w:pPr>
              <w:spacing w:after="20"/>
              <w:ind w:left="20"/>
              <w:jc w:val="both"/>
            </w:pPr>
            <w:r>
              <w:rPr>
                <w:rFonts w:ascii="Times New Roman"/>
                <w:b w:val="false"/>
                <w:i w:val="false"/>
                <w:color w:val="000000"/>
                <w:sz w:val="20"/>
              </w:rPr>
              <w:t>
**субсидируется по норме 3 единицы на 1500 тонн хранения</w:t>
            </w:r>
          </w:p>
          <w:p>
            <w:pPr>
              <w:spacing w:after="20"/>
              <w:ind w:left="20"/>
              <w:jc w:val="both"/>
            </w:pPr>
            <w:r>
              <w:rPr>
                <w:rFonts w:ascii="Times New Roman"/>
                <w:b w:val="false"/>
                <w:i w:val="false"/>
                <w:color w:val="000000"/>
                <w:sz w:val="20"/>
              </w:rPr>
              <w:t>
***Вместимость одного контейнера 200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"Строительство и расширение фруктохранилищ от 1000 тонн *"</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gridSpan w:val="5"/>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gridSpan w:val="5"/>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20 тонн:</w:t>
            </w:r>
          </w:p>
          <w:p>
            <w:pPr>
              <w:spacing w:after="20"/>
              <w:ind w:left="20"/>
              <w:jc w:val="both"/>
            </w:pPr>
            <w:r>
              <w:rPr>
                <w:rFonts w:ascii="Times New Roman"/>
                <w:b w:val="false"/>
                <w:i w:val="false"/>
                <w:color w:val="000000"/>
                <w:sz w:val="20"/>
              </w:rPr>
              <w:t>
седельный тягач</w:t>
            </w:r>
          </w:p>
          <w:p>
            <w:pPr>
              <w:spacing w:after="20"/>
              <w:ind w:left="20"/>
              <w:jc w:val="both"/>
            </w:pPr>
            <w:r>
              <w:rPr>
                <w:rFonts w:ascii="Times New Roman"/>
                <w:b w:val="false"/>
                <w:i w:val="false"/>
                <w:color w:val="000000"/>
                <w:sz w:val="20"/>
              </w:rPr>
              <w:t>
полуприцеп-рефрижератор</w:t>
            </w:r>
          </w:p>
        </w:tc>
        <w:tc>
          <w:tcPr>
            <w:tcW w:w="0" w:type="auto"/>
            <w:gridSpan w:val="5"/>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формированию гофротары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гофрокартона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миллионов квадратных метров</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Сортировочно-упаковочное оборудование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тонн/час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Технологии хранения фруктохранилищ при необходимости допускается комбинировать: с регулируемой газовой средой, также без регулируемой газовой средой. При расчете, учитывается общая мощность.</w:t>
            </w:r>
          </w:p>
          <w:p>
            <w:pPr>
              <w:spacing w:after="20"/>
              <w:ind w:left="20"/>
              <w:jc w:val="both"/>
            </w:pPr>
            <w:r>
              <w:rPr>
                <w:rFonts w:ascii="Times New Roman"/>
                <w:b w:val="false"/>
                <w:i w:val="false"/>
                <w:color w:val="000000"/>
                <w:sz w:val="20"/>
              </w:rPr>
              <w:t>
** При субсидировании в расчет принимается количество транспортных средств, находящихся на балансе на дату субсидирования и мощности фруктохранилища. Субсидируется не более 8 рефрижераторов на 1000 тонн хранения.</w:t>
            </w:r>
          </w:p>
          <w:p>
            <w:pPr>
              <w:spacing w:after="20"/>
              <w:ind w:left="20"/>
              <w:jc w:val="both"/>
            </w:pPr>
            <w:r>
              <w:rPr>
                <w:rFonts w:ascii="Times New Roman"/>
                <w:b w:val="false"/>
                <w:i w:val="false"/>
                <w:color w:val="000000"/>
                <w:sz w:val="20"/>
              </w:rPr>
              <w:t>
*** вместимость одного контейнера 300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 линию производства гофрокартона (гофроагрегат), линию производства гофротары (флексопечать, слоттер, ротационная высечка), штанцевальные формы для ротационной высечки, парогенератор, компрессоры, складскую технику (включая погрузчик с рулонным захватом), оборудование по обвязке готовой продукции, оборудование по прессовке отходов производства. Субсидируются фруктохранилища от 10 000 тонн хранения</w:t>
            </w:r>
          </w:p>
          <w:p>
            <w:pPr>
              <w:spacing w:after="20"/>
              <w:ind w:left="20"/>
              <w:jc w:val="both"/>
            </w:pPr>
            <w:r>
              <w:rPr>
                <w:rFonts w:ascii="Times New Roman"/>
                <w:b w:val="false"/>
                <w:i w:val="false"/>
                <w:color w:val="000000"/>
                <w:sz w:val="20"/>
              </w:rPr>
              <w:t>
***** сортировочно-упаковочное оборудование субсидируется из расчета 1 тонн/час на 800 тонн хранения. По оборудованию, контейнерам и транспорту возможно приобретение и субсидирование вне расширения текущего объема фруктохранилища, но не более максимальных нормативов на 1 тонну хранения.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"Создание и расширение предприятия по переработке плодов/овощей/бахчевых культур"</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свежих плодов, овощей и бахчевых культур с необходимым оборудованием для производства одного и более видов соковой и (или) плодоовощной продукции. Условия для расчета субсидий: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"Строительство предприятия по переработке картофеля"</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картофеля включает производственный комплекс с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 Стоимость инвестиционного проекта определяется согласно проектно-сметной документации: строительство от 140 000 тонн в год по сырью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"Создание и расширение предприятия по производству масложировой продукции"</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переработки масличных культур и (или) производства масложировой продукции.</w:t>
            </w:r>
          </w:p>
          <w:p>
            <w:pPr>
              <w:spacing w:after="20"/>
              <w:ind w:left="20"/>
              <w:jc w:val="both"/>
            </w:pPr>
            <w:r>
              <w:rPr>
                <w:rFonts w:ascii="Times New Roman"/>
                <w:b w:val="false"/>
                <w:i w:val="false"/>
                <w:color w:val="000000"/>
                <w:sz w:val="20"/>
              </w:rPr>
              <w:t>
Условия для расчета субсидий: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масличных культур от 500 тонн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сельскохозяйственным кооперативом предприятия мощностью переработки масличных культур от 100 тонн в сутки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масличных культур от 100 тонн в сутки</w:t>
            </w:r>
          </w:p>
        </w:tc>
        <w:tc>
          <w:tcPr>
            <w:tcW w:w="0" w:type="auto"/>
            <w:gridSpan w:val="7"/>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100 тонн в сутки по сырью для производства пищевых масложировых продуктов, за исключением масла растительного</w:t>
            </w:r>
          </w:p>
        </w:tc>
        <w:tc>
          <w:tcPr>
            <w:tcW w:w="0" w:type="auto"/>
            <w:gridSpan w:val="7"/>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с необходимым оборудованием для переработки растительных и животных жиров для производства непищевой масложировой продукции (гранул) мощностью от 3 тонн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 В рамках настоящего паспорта проекта субсидируется не более одной заявки от одного сельскохозяйственного кооператива</w:t>
            </w:r>
          </w:p>
          <w:p>
            <w:pPr>
              <w:spacing w:after="20"/>
              <w:ind w:left="20"/>
              <w:jc w:val="both"/>
            </w:pPr>
            <w:r>
              <w:rPr>
                <w:rFonts w:ascii="Times New Roman"/>
                <w:b w:val="false"/>
                <w:i w:val="false"/>
                <w:color w:val="000000"/>
                <w:sz w:val="20"/>
              </w:rPr>
              <w:t>
С 1 января 2026 года исключается возмещение части инвестиционных вложений по инвестиционным проектам на создание новых производственных мощностей.</w:t>
            </w:r>
          </w:p>
          <w:p>
            <w:pPr>
              <w:spacing w:after="20"/>
              <w:ind w:left="20"/>
              <w:jc w:val="both"/>
            </w:pPr>
            <w:r>
              <w:rPr>
                <w:rFonts w:ascii="Times New Roman"/>
                <w:b w:val="false"/>
                <w:i w:val="false"/>
                <w:color w:val="000000"/>
                <w:sz w:val="20"/>
              </w:rPr>
              <w:t>
При этом, по инвестиционным проектам, введенным в эксплуатацию и получившим инвестиционные субсидии по первому траншу до января 2026 года, допускается получение инвестиционных субсидий по второму траншу после 1 января 2026 года согласно подпункту 2 пункта 16 настоящих Правил.</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"Создание и расширение предприятия по производству продуктов переработки зерновых культур"</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 с необходимым оборудованием для производства одного и более видов крупяной продукции и (или) сухих завтраков. Условия для расчета субсидий: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2 тонн в час по сырью для производства крупяной продукции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2 тонн в час по сырью для производства крупяной продукции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от 0,2 тонны в час по производству сухих завтраков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0,2 тонны в час по производству сухих завтраков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зерна/муки для производства макаронных изделий с необходимым оборудованием для производства одного и более видов продукции. Условия для расчета субсидий: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по производству макарон без глютена мощностью от 0,2 тонны в час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27.1 "Создание и расширение предприятия по глубокой переработке растениеводческой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высокой технологичной сложности* – 50 % (при этом доля возмещения инвестиционных вложений для производства продукции, не отнесенной к продуктам высокой технологичной сложности в полном технологическом цикле – 25 %);</w:t>
            </w:r>
          </w:p>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не отнесенной к продуктам высокой технологичной сложности – 25 %.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производства одного и (или) более видов продуктов глубокой переработки.</w:t>
            </w:r>
          </w:p>
          <w:p>
            <w:pPr>
              <w:spacing w:after="20"/>
              <w:ind w:left="20"/>
              <w:jc w:val="both"/>
            </w:pPr>
            <w:r>
              <w:rPr>
                <w:rFonts w:ascii="Times New Roman"/>
                <w:b w:val="false"/>
                <w:i w:val="false"/>
                <w:color w:val="000000"/>
                <w:sz w:val="20"/>
              </w:rPr>
              <w:t>
Условия для расчета субсидий: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зерновых культур (за исключением переработки зерна для производства товарной муки), мощностью от 170 тонн сырья в сутки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масличных культур, мощностью от 7 тонн/сутки по основной готовой продукции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*Субсидирование осуществляется при производстве следующей продукции высокой технологической сложности:</w:t>
            </w:r>
          </w:p>
          <w:p>
            <w:pPr>
              <w:spacing w:after="20"/>
              <w:ind w:left="20"/>
              <w:jc w:val="both"/>
            </w:pPr>
            <w:r>
              <w:rPr>
                <w:rFonts w:ascii="Times New Roman"/>
                <w:b w:val="false"/>
                <w:i w:val="false"/>
                <w:color w:val="000000"/>
                <w:sz w:val="20"/>
              </w:rPr>
              <w:t>
Крахмалы модифицированные;</w:t>
            </w:r>
          </w:p>
          <w:p>
            <w:pPr>
              <w:spacing w:after="20"/>
              <w:ind w:left="20"/>
              <w:jc w:val="both"/>
            </w:pPr>
            <w:r>
              <w:rPr>
                <w:rFonts w:ascii="Times New Roman"/>
                <w:b w:val="false"/>
                <w:i w:val="false"/>
                <w:color w:val="000000"/>
                <w:sz w:val="20"/>
              </w:rPr>
              <w:t>
Глюкоза и сироп из глюкозы;</w:t>
            </w:r>
          </w:p>
          <w:p>
            <w:pPr>
              <w:spacing w:after="20"/>
              <w:ind w:left="20"/>
              <w:jc w:val="both"/>
            </w:pPr>
            <w:r>
              <w:rPr>
                <w:rFonts w:ascii="Times New Roman"/>
                <w:b w:val="false"/>
                <w:i w:val="false"/>
                <w:color w:val="000000"/>
                <w:sz w:val="20"/>
              </w:rPr>
              <w:t>
Фруктоза и сироп из фруктозы;</w:t>
            </w:r>
          </w:p>
          <w:p>
            <w:pPr>
              <w:spacing w:after="20"/>
              <w:ind w:left="20"/>
              <w:jc w:val="both"/>
            </w:pPr>
            <w:r>
              <w:rPr>
                <w:rFonts w:ascii="Times New Roman"/>
                <w:b w:val="false"/>
                <w:i w:val="false"/>
                <w:color w:val="000000"/>
                <w:sz w:val="20"/>
              </w:rPr>
              <w:t>
Мальтоза и мальтозный сироп;</w:t>
            </w:r>
          </w:p>
          <w:p>
            <w:pPr>
              <w:spacing w:after="20"/>
              <w:ind w:left="20"/>
              <w:jc w:val="both"/>
            </w:pPr>
            <w:r>
              <w:rPr>
                <w:rFonts w:ascii="Times New Roman"/>
                <w:b w:val="false"/>
                <w:i w:val="false"/>
                <w:color w:val="000000"/>
                <w:sz w:val="20"/>
              </w:rPr>
              <w:t>
Мальтодекстрин;</w:t>
            </w:r>
          </w:p>
          <w:p>
            <w:pPr>
              <w:spacing w:after="20"/>
              <w:ind w:left="20"/>
              <w:jc w:val="both"/>
            </w:pPr>
            <w:r>
              <w:rPr>
                <w:rFonts w:ascii="Times New Roman"/>
                <w:b w:val="false"/>
                <w:i w:val="false"/>
                <w:color w:val="000000"/>
                <w:sz w:val="20"/>
              </w:rPr>
              <w:t>
Концентраты белковые (протеиновые);</w:t>
            </w:r>
          </w:p>
          <w:p>
            <w:pPr>
              <w:spacing w:after="20"/>
              <w:ind w:left="20"/>
              <w:jc w:val="both"/>
            </w:pPr>
            <w:r>
              <w:rPr>
                <w:rFonts w:ascii="Times New Roman"/>
                <w:b w:val="false"/>
                <w:i w:val="false"/>
                <w:color w:val="000000"/>
                <w:sz w:val="20"/>
              </w:rPr>
              <w:t>
Соевый изолят;</w:t>
            </w:r>
          </w:p>
          <w:p>
            <w:pPr>
              <w:spacing w:after="20"/>
              <w:ind w:left="20"/>
              <w:jc w:val="both"/>
            </w:pPr>
            <w:r>
              <w:rPr>
                <w:rFonts w:ascii="Times New Roman"/>
                <w:b w:val="false"/>
                <w:i w:val="false"/>
                <w:color w:val="000000"/>
                <w:sz w:val="20"/>
              </w:rPr>
              <w:t>
Кислота лимонная;</w:t>
            </w:r>
          </w:p>
          <w:p>
            <w:pPr>
              <w:spacing w:after="20"/>
              <w:ind w:left="20"/>
              <w:jc w:val="both"/>
            </w:pPr>
            <w:r>
              <w:rPr>
                <w:rFonts w:ascii="Times New Roman"/>
                <w:b w:val="false"/>
                <w:i w:val="false"/>
                <w:color w:val="000000"/>
                <w:sz w:val="20"/>
              </w:rPr>
              <w:t>
Лецитин и фосфолипиды растительные;</w:t>
            </w:r>
          </w:p>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кроме лизина и глутаминовой кислоты;</w:t>
            </w:r>
          </w:p>
          <w:p>
            <w:pPr>
              <w:spacing w:after="20"/>
              <w:ind w:left="20"/>
              <w:jc w:val="both"/>
            </w:pPr>
            <w:r>
              <w:rPr>
                <w:rFonts w:ascii="Times New Roman"/>
                <w:b w:val="false"/>
                <w:i w:val="false"/>
                <w:color w:val="000000"/>
                <w:sz w:val="20"/>
              </w:rPr>
              <w:t>
Лизин, кислота глутаминовая и их соли.</w:t>
            </w:r>
          </w:p>
          <w:p>
            <w:pPr>
              <w:spacing w:after="20"/>
              <w:ind w:left="20"/>
              <w:jc w:val="both"/>
            </w:pPr>
            <w:r>
              <w:rPr>
                <w:rFonts w:ascii="Times New Roman"/>
                <w:b w:val="false"/>
                <w:i w:val="false"/>
                <w:color w:val="000000"/>
                <w:sz w:val="20"/>
              </w:rPr>
              <w:t xml:space="preserve">
Перечень продукции высокой технологичной сложности составлен в соответствии с Методикой оценки уровня передела товара для включения в перечень приоритетных товаров,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20 мая 2022 года № 273 (зарегистрирован в Реестре государственной регистрации нормативных правовых актов № 28242).</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"Создание и расширение предприятия по производству сахара"</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Предприятие по переработке сахарной свеклы с необходимым оборудованием для приемки и переработки сырья. Условия для расчета субсидий:</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5000 тонн в сутки по сырью</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1600 тонн в сутки по сырью</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Свеклоприемный пункт:</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сырьевой лаборатории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активного вентилирования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Линия по переработке жома (прессование)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жома (грануляция)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и техника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техники 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"Расширение предприятия по производству хлебобулочных и/или кондитерских изделий мощностью от 2 000 тонн продукции в год"</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хлебобулочных и/или кондитерских изделий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продукции/год</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"Расширение яичных птицефабрик с увеличением производственной мощности от 50 миллионов яиц в год"</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техники, оборудования тенге</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кур-несушек</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 одного птичника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молодняка</w:t>
            </w:r>
          </w:p>
        </w:tc>
        <w:tc>
          <w:tcPr>
            <w:tcW w:w="0" w:type="auto"/>
            <w:gridSpan w:val="1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яиц</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проектно-сметная документация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ремонтного молодняка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промышленной несушки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90 000 яиц/час</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45 000 яиц/час</w:t>
            </w:r>
          </w:p>
        </w:tc>
        <w:tc>
          <w:tcPr>
            <w:tcW w:w="0" w:type="auto"/>
            <w:gridSpan w:val="1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убою птицы до 1 500 гол /час</w:t>
            </w:r>
          </w:p>
        </w:tc>
        <w:tc>
          <w:tcPr>
            <w:tcW w:w="0" w:type="auto"/>
            <w:gridSpan w:val="1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переработке отходов убойного</w:t>
            </w:r>
          </w:p>
        </w:tc>
        <w:tc>
          <w:tcPr>
            <w:tcW w:w="0" w:type="auto"/>
            <w:gridSpan w:val="1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0" w:type="auto"/>
            <w:gridSpan w:val="1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Яйцевоз-рефрежератор</w:t>
            </w:r>
          </w:p>
        </w:tc>
        <w:tc>
          <w:tcPr>
            <w:tcW w:w="0" w:type="auto"/>
            <w:gridSpan w:val="1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Вилочный погрузчик</w:t>
            </w:r>
          </w:p>
        </w:tc>
        <w:tc>
          <w:tcPr>
            <w:tcW w:w="0" w:type="auto"/>
            <w:gridSpan w:val="1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Грузовик</w:t>
            </w:r>
          </w:p>
        </w:tc>
        <w:tc>
          <w:tcPr>
            <w:tcW w:w="0" w:type="auto"/>
            <w:gridSpan w:val="1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"Приобретение оборудования для агрохимических лабораторий по анализу почв"</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по агрохимическому анализу почв, оснащенная необходимым оборудованием: автоматическим анализатором сегментированного потока c автосамплером, оборудованием для массовой пробоподготовки, спектрофотометром, оборудованием для массового анализа органического углерода (гумуса), пламенным фотометром с компрессором и манометром под газ, мельницей для размола почвенных проб, лабораторным аквадистиллятором, аналитическими весами, термостатом, сушильным шкафом, вытяжным оборудованием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Атомно-эмиссионный спектрометр с индуктивно-связанной плазмой с автосамплером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пробоотборник почвы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лабораторная посудомоечная машина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32 "Строительство, расширение завода по переработке куриного яйца"</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яйца с технологическим оборудованием, зданиями и сооружениями, инфраструктурой и оборудованием систем жизнедеятельности, с наличием необходимой техникой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в сутки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