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738f" w14:textId="61d7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22 мая 2025 года № 169. Зарегистрирован в Министерстве юстиции Республики Казахстан 26 мая 2025 года № 36142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"9) заемщик – физическое или юридическое лицо, индивидуальный предприниматель (в том числе крестьянское (фермерское) хозяйство), заключившие с эмитентом договор займа, договор финансового лизинга либо соглашение о предоставлении (открытии) кредитной линии и принявшие на себя обязательства в соответствии с условиями указанных договоров,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кредитные товарищества, банки второго уровня, социально-предпринимательские корпорации, региональные инвестиционные центры, микрофинансовые организации;";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4"/>
    <w:bookmarkStart w:name="z11" w:id="5"/>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5"/>
    <w:bookmarkStart w:name="z12" w:id="6"/>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6"/>
    <w:bookmarkStart w:name="z13" w:id="7"/>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bookmarkEnd w:id="7"/>
    <w:bookmarkStart w:name="z14" w:id="8"/>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bookmarkEnd w:id="8"/>
    <w:bookmarkStart w:name="z15" w:id="9"/>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осуществляет финансирование заемщиков в виде кредитов по льготной ставке вознаграждения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bookmarkEnd w:id="9"/>
    <w:bookmarkStart w:name="z16" w:id="10"/>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bookmarkEnd w:id="10"/>
    <w:bookmarkStart w:name="z17" w:id="11"/>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1"/>
    <w:bookmarkStart w:name="z18" w:id="12"/>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12"/>
    <w:bookmarkStart w:name="z19" w:id="13"/>
    <w:p>
      <w:pPr>
        <w:spacing w:after="0"/>
        <w:ind w:left="0"/>
        <w:jc w:val="both"/>
      </w:pPr>
      <w:r>
        <w:rPr>
          <w:rFonts w:ascii="Times New Roman"/>
          <w:b w:val="false"/>
          <w:i w:val="false"/>
          <w:color w:val="000000"/>
          <w:sz w:val="28"/>
        </w:rPr>
        <w:t>
      Допускается предоставление (открытие) эмитентом кредитной линии заемщику на срок, не превышающий 36 (тридцать шесть) месяцев. При этом срок кредита, предоставляемого в рамках кредитной линии, не должен превышать срока обращения облигаций.";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"29. Субсидирование купонного вознаграждения по долгосрочным облигационным займам эмитента осуществляется на следующих условиях:</w:t>
      </w:r>
    </w:p>
    <w:bookmarkEnd w:id="14"/>
    <w:bookmarkStart w:name="z22" w:id="15"/>
    <w:p>
      <w:pPr>
        <w:spacing w:after="0"/>
        <w:ind w:left="0"/>
        <w:jc w:val="both"/>
      </w:pPr>
      <w:r>
        <w:rPr>
          <w:rFonts w:ascii="Times New Roman"/>
          <w:b w:val="false"/>
          <w:i w:val="false"/>
          <w:color w:val="000000"/>
          <w:sz w:val="28"/>
        </w:rPr>
        <w:t>
      1) субсидирование составляет полный размер купонного вознаграждения облигационного займа;</w:t>
      </w:r>
    </w:p>
    <w:bookmarkEnd w:id="15"/>
    <w:bookmarkStart w:name="z23" w:id="16"/>
    <w:p>
      <w:pPr>
        <w:spacing w:after="0"/>
        <w:ind w:left="0"/>
        <w:jc w:val="both"/>
      </w:pPr>
      <w:r>
        <w:rPr>
          <w:rFonts w:ascii="Times New Roman"/>
          <w:b w:val="false"/>
          <w:i w:val="false"/>
          <w:color w:val="000000"/>
          <w:sz w:val="28"/>
        </w:rPr>
        <w:t>
      2) предельный размер субсидирования не превышает суммарного значения базовой ставки Национального банка Республики Казахстан на момент привлечения облигационного займа плюс 1,5 % (одна целая пять десятых). При этом датой привлечения облигационного займа считается дата проведения торгов/подписки, которая публикуется на официальном интернет-ресурсе акционерного общества "Казахстанская фондовая биржа" www.kase.kz;</w:t>
      </w:r>
    </w:p>
    <w:bookmarkEnd w:id="16"/>
    <w:bookmarkStart w:name="z24" w:id="17"/>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17"/>
    <w:bookmarkStart w:name="z25" w:id="18"/>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долгосрочным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7" w:id="19"/>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19"/>
    <w:bookmarkStart w:name="z28"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31" w:id="2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3"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 w:id="2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8"/>
    <w:bookmarkStart w:name="z41" w:id="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9"/>
    <w:bookmarkStart w:name="z42" w:id="30"/>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 по купонному вознаграждению по облигациям</w:t>
      </w:r>
    </w:p>
    <w:bookmarkEnd w:id="30"/>
    <w:bookmarkStart w:name="z43" w:id="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КВО-1</w:t>
      </w:r>
    </w:p>
    <w:bookmarkEnd w:id="31"/>
    <w:bookmarkStart w:name="z44" w:id="32"/>
    <w:p>
      <w:pPr>
        <w:spacing w:after="0"/>
        <w:ind w:left="0"/>
        <w:jc w:val="both"/>
      </w:pPr>
      <w:r>
        <w:rPr>
          <w:rFonts w:ascii="Times New Roman"/>
          <w:b w:val="false"/>
          <w:i w:val="false"/>
          <w:color w:val="000000"/>
          <w:sz w:val="28"/>
        </w:rPr>
        <w:t>
      Периодичность: ежегодная</w:t>
      </w:r>
    </w:p>
    <w:bookmarkEnd w:id="32"/>
    <w:bookmarkStart w:name="z45" w:id="33"/>
    <w:p>
      <w:pPr>
        <w:spacing w:after="0"/>
        <w:ind w:left="0"/>
        <w:jc w:val="both"/>
      </w:pPr>
      <w:r>
        <w:rPr>
          <w:rFonts w:ascii="Times New Roman"/>
          <w:b w:val="false"/>
          <w:i w:val="false"/>
          <w:color w:val="000000"/>
          <w:sz w:val="28"/>
        </w:rPr>
        <w:t>
      Отчетный период: 20__ год</w:t>
      </w:r>
    </w:p>
    <w:bookmarkEnd w:id="33"/>
    <w:bookmarkStart w:name="z46" w:id="3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bookmarkEnd w:id="34"/>
    <w:bookmarkStart w:name="z47" w:id="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48" w:id="36"/>
    <w:p>
      <w:pPr>
        <w:spacing w:after="0"/>
        <w:ind w:left="0"/>
        <w:jc w:val="both"/>
      </w:pPr>
      <w:r>
        <w:rPr>
          <w:rFonts w:ascii="Times New Roman"/>
          <w:b w:val="false"/>
          <w:i w:val="false"/>
          <w:color w:val="000000"/>
          <w:sz w:val="28"/>
        </w:rPr>
        <w:t>
      Метод сбора: в электронном виде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bookmarkStart w:name="z50" w:id="37"/>
      <w:r>
        <w:rPr>
          <w:rFonts w:ascii="Times New Roman"/>
          <w:b w:val="false"/>
          <w:i w:val="false"/>
          <w:color w:val="000000"/>
          <w:sz w:val="28"/>
        </w:rPr>
        <w:t>
      Примечание: Пояснение по заполнению формы, предназначенной для сбора</w:t>
      </w:r>
    </w:p>
    <w:bookmarkEnd w:id="37"/>
    <w:p>
      <w:pPr>
        <w:spacing w:after="0"/>
        <w:ind w:left="0"/>
        <w:jc w:val="both"/>
      </w:pPr>
      <w:r>
        <w:rPr>
          <w:rFonts w:ascii="Times New Roman"/>
          <w:b w:val="false"/>
          <w:i w:val="false"/>
          <w:color w:val="000000"/>
          <w:sz w:val="28"/>
        </w:rPr>
        <w:t>административных данных на безвозмездной основе "Отчет о фактическом</w:t>
      </w:r>
    </w:p>
    <w:p>
      <w:pPr>
        <w:spacing w:after="0"/>
        <w:ind w:left="0"/>
        <w:jc w:val="both"/>
      </w:pPr>
      <w:r>
        <w:rPr>
          <w:rFonts w:ascii="Times New Roman"/>
          <w:b w:val="false"/>
          <w:i w:val="false"/>
          <w:color w:val="000000"/>
          <w:sz w:val="28"/>
        </w:rPr>
        <w:t>использовании субсидий по купонному вознаграждению по облигациям"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по купонному вознаграждению</w:t>
            </w:r>
            <w:r>
              <w:br/>
            </w:r>
            <w:r>
              <w:rPr>
                <w:rFonts w:ascii="Times New Roman"/>
                <w:b w:val="false"/>
                <w:i w:val="false"/>
                <w:color w:val="000000"/>
                <w:sz w:val="20"/>
              </w:rPr>
              <w:t>по облигациям"</w:t>
            </w:r>
          </w:p>
        </w:tc>
      </w:tr>
    </w:tbl>
    <w:bookmarkStart w:name="z52" w:id="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фактическом использовании субсидий</w:t>
      </w:r>
      <w:r>
        <w:br/>
      </w:r>
      <w:r>
        <w:rPr>
          <w:rFonts w:ascii="Times New Roman"/>
          <w:b/>
          <w:i w:val="false"/>
          <w:color w:val="000000"/>
        </w:rPr>
        <w:t>по купонному вознаграждению по облигациям"</w:t>
      </w:r>
      <w:r>
        <w:br/>
      </w:r>
      <w:r>
        <w:rPr>
          <w:rFonts w:ascii="Times New Roman"/>
          <w:b/>
          <w:i w:val="false"/>
          <w:color w:val="000000"/>
        </w:rPr>
        <w:t>(индекс: форма КВО-1, периодичность: ежегодная)</w:t>
      </w:r>
    </w:p>
    <w:bookmarkEnd w:id="38"/>
    <w:bookmarkStart w:name="z53" w:id="39"/>
    <w:p>
      <w:pPr>
        <w:spacing w:after="0"/>
        <w:ind w:left="0"/>
        <w:jc w:val="left"/>
      </w:pPr>
      <w:r>
        <w:rPr>
          <w:rFonts w:ascii="Times New Roman"/>
          <w:b/>
          <w:i w:val="false"/>
          <w:color w:val="000000"/>
        </w:rPr>
        <w:t xml:space="preserve"> Глава 1. Общие положения</w:t>
      </w:r>
    </w:p>
    <w:bookmarkEnd w:id="39"/>
    <w:bookmarkStart w:name="z54" w:id="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по купонному вознаграждению по облигациям" (далее – Форма).</w:t>
      </w:r>
    </w:p>
    <w:bookmarkEnd w:id="40"/>
    <w:bookmarkStart w:name="z55" w:id="41"/>
    <w:p>
      <w:pPr>
        <w:spacing w:after="0"/>
        <w:ind w:left="0"/>
        <w:jc w:val="both"/>
      </w:pPr>
      <w:r>
        <w:rPr>
          <w:rFonts w:ascii="Times New Roman"/>
          <w:b w:val="false"/>
          <w:i w:val="false"/>
          <w:color w:val="000000"/>
          <w:sz w:val="28"/>
        </w:rPr>
        <w:t>
      2. Форма заполняется эмитентом.</w:t>
      </w:r>
    </w:p>
    <w:bookmarkEnd w:id="41"/>
    <w:bookmarkStart w:name="z56" w:id="42"/>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42"/>
    <w:bookmarkStart w:name="z57" w:id="43"/>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 ежегодно до 25 января года, следующего за отчетным.</w:t>
      </w:r>
    </w:p>
    <w:bookmarkEnd w:id="43"/>
    <w:bookmarkStart w:name="z58" w:id="44"/>
    <w:p>
      <w:pPr>
        <w:spacing w:after="0"/>
        <w:ind w:left="0"/>
        <w:jc w:val="left"/>
      </w:pPr>
      <w:r>
        <w:rPr>
          <w:rFonts w:ascii="Times New Roman"/>
          <w:b/>
          <w:i w:val="false"/>
          <w:color w:val="000000"/>
        </w:rPr>
        <w:t xml:space="preserve"> Глава 2. Пояснение по заполнению Формы</w:t>
      </w:r>
    </w:p>
    <w:bookmarkEnd w:id="44"/>
    <w:bookmarkStart w:name="z59" w:id="45"/>
    <w:p>
      <w:pPr>
        <w:spacing w:after="0"/>
        <w:ind w:left="0"/>
        <w:jc w:val="both"/>
      </w:pPr>
      <w:r>
        <w:rPr>
          <w:rFonts w:ascii="Times New Roman"/>
          <w:b w:val="false"/>
          <w:i w:val="false"/>
          <w:color w:val="000000"/>
          <w:sz w:val="28"/>
        </w:rPr>
        <w:t>
      5. В графе 1 Формы указывается наименование эмитента.</w:t>
      </w:r>
    </w:p>
    <w:bookmarkEnd w:id="45"/>
    <w:bookmarkStart w:name="z60" w:id="46"/>
    <w:p>
      <w:pPr>
        <w:spacing w:after="0"/>
        <w:ind w:left="0"/>
        <w:jc w:val="both"/>
      </w:pPr>
      <w:r>
        <w:rPr>
          <w:rFonts w:ascii="Times New Roman"/>
          <w:b w:val="false"/>
          <w:i w:val="false"/>
          <w:color w:val="000000"/>
          <w:sz w:val="28"/>
        </w:rPr>
        <w:t>
      6. В графе 2 Формы указывается бизнес-идентификационный номер.</w:t>
      </w:r>
    </w:p>
    <w:bookmarkEnd w:id="46"/>
    <w:bookmarkStart w:name="z61" w:id="47"/>
    <w:p>
      <w:pPr>
        <w:spacing w:after="0"/>
        <w:ind w:left="0"/>
        <w:jc w:val="both"/>
      </w:pPr>
      <w:r>
        <w:rPr>
          <w:rFonts w:ascii="Times New Roman"/>
          <w:b w:val="false"/>
          <w:i w:val="false"/>
          <w:color w:val="000000"/>
          <w:sz w:val="28"/>
        </w:rPr>
        <w:t>
      7. В графе 3 Формы указывается проспект облигаций (международный идентификационный номер (национальный идентификационный номер)).</w:t>
      </w:r>
    </w:p>
    <w:bookmarkEnd w:id="47"/>
    <w:bookmarkStart w:name="z62" w:id="48"/>
    <w:p>
      <w:pPr>
        <w:spacing w:after="0"/>
        <w:ind w:left="0"/>
        <w:jc w:val="both"/>
      </w:pPr>
      <w:r>
        <w:rPr>
          <w:rFonts w:ascii="Times New Roman"/>
          <w:b w:val="false"/>
          <w:i w:val="false"/>
          <w:color w:val="000000"/>
          <w:sz w:val="28"/>
        </w:rPr>
        <w:t>
      8. В графе 4 Формы указывается сумма облигационного займа.</w:t>
      </w:r>
    </w:p>
    <w:bookmarkEnd w:id="48"/>
    <w:bookmarkStart w:name="z63" w:id="49"/>
    <w:p>
      <w:pPr>
        <w:spacing w:after="0"/>
        <w:ind w:left="0"/>
        <w:jc w:val="both"/>
      </w:pPr>
      <w:r>
        <w:rPr>
          <w:rFonts w:ascii="Times New Roman"/>
          <w:b w:val="false"/>
          <w:i w:val="false"/>
          <w:color w:val="000000"/>
          <w:sz w:val="28"/>
        </w:rPr>
        <w:t>
      9. В графе 5 Формы указывается субсидий на весь срок обращения облигаций, за весь период и за отчетный период, в тенге.</w:t>
      </w:r>
    </w:p>
    <w:bookmarkEnd w:id="49"/>
    <w:bookmarkStart w:name="z64" w:id="50"/>
    <w:p>
      <w:pPr>
        <w:spacing w:after="0"/>
        <w:ind w:left="0"/>
        <w:jc w:val="both"/>
      </w:pPr>
      <w:r>
        <w:rPr>
          <w:rFonts w:ascii="Times New Roman"/>
          <w:b w:val="false"/>
          <w:i w:val="false"/>
          <w:color w:val="000000"/>
          <w:sz w:val="28"/>
        </w:rPr>
        <w:t>
      10. В графах 6 и 7 Формы указываются перечисленные субсидии за весь период и отчетный период, в тенге.</w:t>
      </w:r>
    </w:p>
    <w:bookmarkEnd w:id="50"/>
    <w:bookmarkStart w:name="z65" w:id="51"/>
    <w:p>
      <w:pPr>
        <w:spacing w:after="0"/>
        <w:ind w:left="0"/>
        <w:jc w:val="both"/>
      </w:pPr>
      <w:r>
        <w:rPr>
          <w:rFonts w:ascii="Times New Roman"/>
          <w:b w:val="false"/>
          <w:i w:val="false"/>
          <w:color w:val="000000"/>
          <w:sz w:val="28"/>
        </w:rPr>
        <w:t>
      11. В графах 8 и 9 Формы указывается отклонение (переплата, недостаток) за весь период и за отчетный период, в тенге.</w:t>
      </w:r>
    </w:p>
    <w:bookmarkEnd w:id="51"/>
    <w:bookmarkStart w:name="z66" w:id="52"/>
    <w:p>
      <w:pPr>
        <w:spacing w:after="0"/>
        <w:ind w:left="0"/>
        <w:jc w:val="both"/>
      </w:pPr>
      <w:r>
        <w:rPr>
          <w:rFonts w:ascii="Times New Roman"/>
          <w:b w:val="false"/>
          <w:i w:val="false"/>
          <w:color w:val="000000"/>
          <w:sz w:val="28"/>
        </w:rPr>
        <w:t>
      12. В графе 10 Формы указывается возврат неиспользованных субсидий (факт), в тенге.</w:t>
      </w:r>
    </w:p>
    <w:bookmarkEnd w:id="52"/>
    <w:bookmarkStart w:name="z67" w:id="53"/>
    <w:p>
      <w:pPr>
        <w:spacing w:after="0"/>
        <w:ind w:left="0"/>
        <w:jc w:val="both"/>
      </w:pPr>
      <w:r>
        <w:rPr>
          <w:rFonts w:ascii="Times New Roman"/>
          <w:b w:val="false"/>
          <w:i w:val="false"/>
          <w:color w:val="000000"/>
          <w:sz w:val="28"/>
        </w:rPr>
        <w:t>
      13. В графе 11 Формы указывается остаток субсидий, находящийся на банковском счете, в тенге.</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