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d738f" w14:textId="61d7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22 мая 2025 года № 169. Зарегистрирован в Министерстве юстиции Республики Казахстан 26 мая 2025 года № 36142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 (зарегистрирован в Реестре государственной регистрации нормативных правовых актов № 19753)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купонного вознаграждения по облигациям,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xml:space="preserve">
      "9) заемщик – физическое или юридическое лицо, индивидуальный предприниматель (в том числе крестьянское (фермерское) хозяйство), заключившие с эмитентом договор займа, договор финансового лизинга либо соглашение о предоставлении (открытии) кредитной линии и принявшие на себя обязательства в соответствии с условиями указанных договоров, осуществляющие деятельность в соответствии с перечнем товаров для кредитования и финансового лизинга по приоритетным проектам в сфере производства и (или)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а также кредитные товарищества, банки второго уровня, социально-предпринимательские корпорации, региональные инвестиционные центры, микрофинансовые организации;";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"23. Рабочий орган за 10 (десять) рабочих дней до даты начала купонных выплат по облигационному займу, перечисляет платежом на банковский счет эмитента, являющегося оператором по зерновому рынку, субсидируемую часть купонного вознаграждения, согласно заключенному соглашению.</w:t>
      </w:r>
    </w:p>
    <w:bookmarkEnd w:id="4"/>
    <w:bookmarkStart w:name="z11" w:id="5"/>
    <w:p>
      <w:pPr>
        <w:spacing w:after="0"/>
        <w:ind w:left="0"/>
        <w:jc w:val="both"/>
      </w:pPr>
      <w:r>
        <w:rPr>
          <w:rFonts w:ascii="Times New Roman"/>
          <w:b w:val="false"/>
          <w:i w:val="false"/>
          <w:color w:val="000000"/>
          <w:sz w:val="28"/>
        </w:rPr>
        <w:t>
      При этом, перечисление субсидий по купонному вознаграждению, начисляемому по облигациям оператора по зерновому рынку в отчетном году, осуществляется не позднее 30 января отчетного года авансовым платежом на банковский счет эмитента в пределах средств, предусмотренных в бюджете на соответствующий финансовый год.</w:t>
      </w:r>
    </w:p>
    <w:bookmarkEnd w:id="5"/>
    <w:bookmarkStart w:name="z12" w:id="6"/>
    <w:p>
      <w:pPr>
        <w:spacing w:after="0"/>
        <w:ind w:left="0"/>
        <w:jc w:val="both"/>
      </w:pPr>
      <w:r>
        <w:rPr>
          <w:rFonts w:ascii="Times New Roman"/>
          <w:b w:val="false"/>
          <w:i w:val="false"/>
          <w:color w:val="000000"/>
          <w:sz w:val="28"/>
        </w:rPr>
        <w:t>
      В случае оплаты эмитентом, в том числе являющегося оператором по зерновому рынку, купонного вознаграждения по облигациям за счет собственных средств, рабочий орган возмещает эмитенту ранее оплаченную часть купонного вознаграждения по облигациям путем перечисления суммы субсидируемой части купонного вознаграждения на банковский счет эмитента.</w:t>
      </w:r>
    </w:p>
    <w:bookmarkEnd w:id="6"/>
    <w:bookmarkStart w:name="z13" w:id="7"/>
    <w:p>
      <w:pPr>
        <w:spacing w:after="0"/>
        <w:ind w:left="0"/>
        <w:jc w:val="both"/>
      </w:pPr>
      <w:r>
        <w:rPr>
          <w:rFonts w:ascii="Times New Roman"/>
          <w:b w:val="false"/>
          <w:i w:val="false"/>
          <w:color w:val="000000"/>
          <w:sz w:val="28"/>
        </w:rPr>
        <w:t>
      Рабочий орган при наличии средств субсидий перечисляет авансовым платежом 100 % (сто процентов) купонного вознаграждения по облигациям, срок выпуска которых составляет до 18 (восемнадцать) месяцев включительно, на банковский счет эмитента, в том числе являющегося оператором по зерновому рынку, подлежащего уплате по облигациям, согласно заключенному соглашению.</w:t>
      </w:r>
    </w:p>
    <w:bookmarkEnd w:id="7"/>
    <w:bookmarkStart w:name="z14" w:id="8"/>
    <w:p>
      <w:pPr>
        <w:spacing w:after="0"/>
        <w:ind w:left="0"/>
        <w:jc w:val="both"/>
      </w:pPr>
      <w:r>
        <w:rPr>
          <w:rFonts w:ascii="Times New Roman"/>
          <w:b w:val="false"/>
          <w:i w:val="false"/>
          <w:color w:val="000000"/>
          <w:sz w:val="28"/>
        </w:rPr>
        <w:t>
      Допускается погашение эмитентом купонного вознаграждения по облигациям авансом.</w:t>
      </w:r>
    </w:p>
    <w:bookmarkEnd w:id="8"/>
    <w:bookmarkStart w:name="z15" w:id="9"/>
    <w:p>
      <w:pPr>
        <w:spacing w:after="0"/>
        <w:ind w:left="0"/>
        <w:jc w:val="both"/>
      </w:pPr>
      <w:r>
        <w:rPr>
          <w:rFonts w:ascii="Times New Roman"/>
          <w:b w:val="false"/>
          <w:i w:val="false"/>
          <w:color w:val="000000"/>
          <w:sz w:val="28"/>
        </w:rPr>
        <w:t>
      Эмитент, за исключением оператора по зерновому рынку, после получения средств субсидий, либо при наличии постановления Правительства Республики Казахстан о выделении средств из резерва Правительства Республики Казахстан, либо при наличии в республиканском бюджете на соответствующий финансовый год средств на субсидирование купонного вознаграждения, осуществляет финансирование заемщиков в виде кредитов по льготной ставке вознаграждения за счет краткосрочных/среднесрочных облигаций путем заключения договоров займа на общую сумму, на которую предусмотрены субсидии в размере 100 % (сто процентов) купонного вознаграждения.</w:t>
      </w:r>
    </w:p>
    <w:bookmarkEnd w:id="9"/>
    <w:bookmarkStart w:name="z16" w:id="10"/>
    <w:p>
      <w:pPr>
        <w:spacing w:after="0"/>
        <w:ind w:left="0"/>
        <w:jc w:val="both"/>
      </w:pPr>
      <w:r>
        <w:rPr>
          <w:rFonts w:ascii="Times New Roman"/>
          <w:b w:val="false"/>
          <w:i w:val="false"/>
          <w:color w:val="000000"/>
          <w:sz w:val="28"/>
        </w:rPr>
        <w:t>
      За счет указанных краткосрочных/среднесрочных облигаций допускается:</w:t>
      </w:r>
    </w:p>
    <w:bookmarkEnd w:id="10"/>
    <w:bookmarkStart w:name="z17" w:id="11"/>
    <w:p>
      <w:pPr>
        <w:spacing w:after="0"/>
        <w:ind w:left="0"/>
        <w:jc w:val="both"/>
      </w:pPr>
      <w:r>
        <w:rPr>
          <w:rFonts w:ascii="Times New Roman"/>
          <w:b w:val="false"/>
          <w:i w:val="false"/>
          <w:color w:val="000000"/>
          <w:sz w:val="28"/>
        </w:rPr>
        <w:t>
      замещение ранее выданных кредитных средств на проведение весенне-полевых и уборочных работ по договорам займа, заключенным с 1 ноября 2023 года;</w:t>
      </w:r>
    </w:p>
    <w:bookmarkEnd w:id="11"/>
    <w:bookmarkStart w:name="z18" w:id="12"/>
    <w:p>
      <w:pPr>
        <w:spacing w:after="0"/>
        <w:ind w:left="0"/>
        <w:jc w:val="both"/>
      </w:pPr>
      <w:r>
        <w:rPr>
          <w:rFonts w:ascii="Times New Roman"/>
          <w:b w:val="false"/>
          <w:i w:val="false"/>
          <w:color w:val="000000"/>
          <w:sz w:val="28"/>
        </w:rPr>
        <w:t>
      рефинансирование обязательств заемщиков банков второго уровня, социально-предпринимательских корпораций, региональных инвестиционных центров и микрофинансовых организаций по договорам займа, заключенным с 1 ноября 2023 года на проведение весенне-полевых и уборочных работ.</w:t>
      </w:r>
    </w:p>
    <w:bookmarkEnd w:id="12"/>
    <w:bookmarkStart w:name="z19" w:id="13"/>
    <w:p>
      <w:pPr>
        <w:spacing w:after="0"/>
        <w:ind w:left="0"/>
        <w:jc w:val="both"/>
      </w:pPr>
      <w:r>
        <w:rPr>
          <w:rFonts w:ascii="Times New Roman"/>
          <w:b w:val="false"/>
          <w:i w:val="false"/>
          <w:color w:val="000000"/>
          <w:sz w:val="28"/>
        </w:rPr>
        <w:t>
      Допускается предоставление (открытие) эмитентом кредитной линии заемщику на срок, не превышающий 36 (тридцать шесть) месяцев. При этом срок кредита, предоставляемого в рамках кредитной линии, не должен превышать срока обращения облигаций.";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"29. Субсидирование купонного вознаграждения по долгосрочным облигационным займам эмитента осуществляется на следующих условиях:</w:t>
      </w:r>
    </w:p>
    <w:bookmarkEnd w:id="14"/>
    <w:bookmarkStart w:name="z22" w:id="15"/>
    <w:p>
      <w:pPr>
        <w:spacing w:after="0"/>
        <w:ind w:left="0"/>
        <w:jc w:val="both"/>
      </w:pPr>
      <w:r>
        <w:rPr>
          <w:rFonts w:ascii="Times New Roman"/>
          <w:b w:val="false"/>
          <w:i w:val="false"/>
          <w:color w:val="000000"/>
          <w:sz w:val="28"/>
        </w:rPr>
        <w:t>
      1) субсидирование составляет полный размер купонного вознаграждения облигационного займа;</w:t>
      </w:r>
    </w:p>
    <w:bookmarkEnd w:id="15"/>
    <w:bookmarkStart w:name="z23" w:id="16"/>
    <w:p>
      <w:pPr>
        <w:spacing w:after="0"/>
        <w:ind w:left="0"/>
        <w:jc w:val="both"/>
      </w:pPr>
      <w:r>
        <w:rPr>
          <w:rFonts w:ascii="Times New Roman"/>
          <w:b w:val="false"/>
          <w:i w:val="false"/>
          <w:color w:val="000000"/>
          <w:sz w:val="28"/>
        </w:rPr>
        <w:t>
      2) предельный размер субсидирования не превышает суммарного значения базовой ставки Национального банка Республики Казахстан на момент привлечения облигационного займа плюс 1,5 % (одна целая пять десятых). При этом датой привлечения облигационного займа считается дата проведения торгов/подписки, которая публикуется на официальном интернет-ресурсе акционерного общества "Казахстанская фондовая биржа" www.kase.kz;</w:t>
      </w:r>
    </w:p>
    <w:bookmarkEnd w:id="16"/>
    <w:bookmarkStart w:name="z24" w:id="17"/>
    <w:p>
      <w:pPr>
        <w:spacing w:after="0"/>
        <w:ind w:left="0"/>
        <w:jc w:val="both"/>
      </w:pPr>
      <w:r>
        <w:rPr>
          <w:rFonts w:ascii="Times New Roman"/>
          <w:b w:val="false"/>
          <w:i w:val="false"/>
          <w:color w:val="000000"/>
          <w:sz w:val="28"/>
        </w:rPr>
        <w:t>
      3) срок погашения облигационного займа – согласно условиям Проспекта.</w:t>
      </w:r>
    </w:p>
    <w:bookmarkEnd w:id="17"/>
    <w:bookmarkStart w:name="z25" w:id="18"/>
    <w:p>
      <w:pPr>
        <w:spacing w:after="0"/>
        <w:ind w:left="0"/>
        <w:jc w:val="both"/>
      </w:pPr>
      <w:r>
        <w:rPr>
          <w:rFonts w:ascii="Times New Roman"/>
          <w:b w:val="false"/>
          <w:i w:val="false"/>
          <w:color w:val="000000"/>
          <w:sz w:val="28"/>
        </w:rPr>
        <w:t>
      При этом допускается субсидирование ставки купонного вознаграждения по долгосрочным облигациям эмитента, выпущенным с целью рефинансирования и (или) погашения размещенных облигаций, по которым осуществляется субсидирование купонного вознаграждения.";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7" w:id="19"/>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19"/>
    <w:bookmarkStart w:name="z28"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29"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21"/>
    <w:bookmarkStart w:name="z30" w:id="2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2"/>
    <w:bookmarkStart w:name="z31" w:id="23"/>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33"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4"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5"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36"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мая 2025 года № 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0" w:id="28"/>
    <w:p>
      <w:pPr>
        <w:spacing w:after="0"/>
        <w:ind w:left="0"/>
        <w:jc w:val="both"/>
      </w:pPr>
      <w:r>
        <w:rPr>
          <w:rFonts w:ascii="Times New Roman"/>
          <w:b w:val="false"/>
          <w:i w:val="false"/>
          <w:color w:val="000000"/>
          <w:sz w:val="28"/>
        </w:rPr>
        <w:t>
      Представляется: в Министерство сельского хозяйства Республики Казахстан</w:t>
      </w:r>
    </w:p>
    <w:bookmarkEnd w:id="28"/>
    <w:bookmarkStart w:name="z41" w:id="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9"/>
    <w:bookmarkStart w:name="z42" w:id="30"/>
    <w:p>
      <w:pPr>
        <w:spacing w:after="0"/>
        <w:ind w:left="0"/>
        <w:jc w:val="left"/>
      </w:pPr>
      <w:r>
        <w:rPr>
          <w:rFonts w:ascii="Times New Roman"/>
          <w:b/>
          <w:i w:val="false"/>
          <w:color w:val="000000"/>
        </w:rPr>
        <w:t xml:space="preserve"> Наименование административной формы: Отчет о фактическом использовании субсидий по купонному вознаграждению по облигациям</w:t>
      </w:r>
    </w:p>
    <w:bookmarkEnd w:id="30"/>
    <w:bookmarkStart w:name="z43" w:id="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форма № КВО-1</w:t>
      </w:r>
    </w:p>
    <w:bookmarkEnd w:id="31"/>
    <w:bookmarkStart w:name="z44" w:id="32"/>
    <w:p>
      <w:pPr>
        <w:spacing w:after="0"/>
        <w:ind w:left="0"/>
        <w:jc w:val="both"/>
      </w:pPr>
      <w:r>
        <w:rPr>
          <w:rFonts w:ascii="Times New Roman"/>
          <w:b w:val="false"/>
          <w:i w:val="false"/>
          <w:color w:val="000000"/>
          <w:sz w:val="28"/>
        </w:rPr>
        <w:t>
      Периодичность: ежегодная</w:t>
      </w:r>
    </w:p>
    <w:bookmarkEnd w:id="32"/>
    <w:bookmarkStart w:name="z45" w:id="33"/>
    <w:p>
      <w:pPr>
        <w:spacing w:after="0"/>
        <w:ind w:left="0"/>
        <w:jc w:val="both"/>
      </w:pPr>
      <w:r>
        <w:rPr>
          <w:rFonts w:ascii="Times New Roman"/>
          <w:b w:val="false"/>
          <w:i w:val="false"/>
          <w:color w:val="000000"/>
          <w:sz w:val="28"/>
        </w:rPr>
        <w:t>
      Отчетный период: 20__ год</w:t>
      </w:r>
    </w:p>
    <w:bookmarkEnd w:id="33"/>
    <w:bookmarkStart w:name="z46" w:id="34"/>
    <w:p>
      <w:pPr>
        <w:spacing w:after="0"/>
        <w:ind w:left="0"/>
        <w:jc w:val="both"/>
      </w:pPr>
      <w:r>
        <w:rPr>
          <w:rFonts w:ascii="Times New Roman"/>
          <w:b w:val="false"/>
          <w:i w:val="false"/>
          <w:color w:val="000000"/>
          <w:sz w:val="28"/>
        </w:rPr>
        <w:t xml:space="preserve">
      Круг лиц, представляющих форму, предназначенную для сбора административных данных на безвозмездной основе: эмитент </w:t>
      </w:r>
    </w:p>
    <w:bookmarkEnd w:id="34"/>
    <w:bookmarkStart w:name="z47" w:id="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25 января года, следующего за отчетным</w:t>
      </w:r>
    </w:p>
    <w:bookmarkEnd w:id="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tc>
      </w:tr>
    </w:tbl>
    <w:bookmarkStart w:name="z48" w:id="36"/>
    <w:p>
      <w:pPr>
        <w:spacing w:after="0"/>
        <w:ind w:left="0"/>
        <w:jc w:val="both"/>
      </w:pPr>
      <w:r>
        <w:rPr>
          <w:rFonts w:ascii="Times New Roman"/>
          <w:b w:val="false"/>
          <w:i w:val="false"/>
          <w:color w:val="000000"/>
          <w:sz w:val="28"/>
        </w:rPr>
        <w:t>
      Метод сбора: в электронном виде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облигаций (международный идентификационный номер (национальный идентификационный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облигационного займа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предусмотрено субсидий на весь срок обращения облигаций,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переплата, (-) недостаток,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(факт),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субсидий, находящийся на банковском счете,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Наименование 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bookmarkStart w:name="z50" w:id="37"/>
      <w:r>
        <w:rPr>
          <w:rFonts w:ascii="Times New Roman"/>
          <w:b w:val="false"/>
          <w:i w:val="false"/>
          <w:color w:val="000000"/>
          <w:sz w:val="28"/>
        </w:rPr>
        <w:t>
      Примечание: Пояснение по заполнению формы, предназначенной для сбора</w:t>
      </w:r>
    </w:p>
    <w:bookmarkEnd w:id="37"/>
    <w:p>
      <w:pPr>
        <w:spacing w:after="0"/>
        <w:ind w:left="0"/>
        <w:jc w:val="both"/>
      </w:pPr>
      <w:r>
        <w:rPr>
          <w:rFonts w:ascii="Times New Roman"/>
          <w:b w:val="false"/>
          <w:i w:val="false"/>
          <w:color w:val="000000"/>
          <w:sz w:val="28"/>
        </w:rPr>
        <w:t>административных данных на безвозмездной основе "Отчет о фактическом</w:t>
      </w:r>
    </w:p>
    <w:p>
      <w:pPr>
        <w:spacing w:after="0"/>
        <w:ind w:left="0"/>
        <w:jc w:val="both"/>
      </w:pPr>
      <w:r>
        <w:rPr>
          <w:rFonts w:ascii="Times New Roman"/>
          <w:b w:val="false"/>
          <w:i w:val="false"/>
          <w:color w:val="000000"/>
          <w:sz w:val="28"/>
        </w:rPr>
        <w:t>использовании субсидий по купонному вознаграждению по облигациям"</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фактическом</w:t>
            </w:r>
            <w:r>
              <w:br/>
            </w:r>
            <w:r>
              <w:rPr>
                <w:rFonts w:ascii="Times New Roman"/>
                <w:b w:val="false"/>
                <w:i w:val="false"/>
                <w:color w:val="000000"/>
                <w:sz w:val="20"/>
              </w:rPr>
              <w:t>использовании субсидий</w:t>
            </w:r>
            <w:r>
              <w:br/>
            </w:r>
            <w:r>
              <w:rPr>
                <w:rFonts w:ascii="Times New Roman"/>
                <w:b w:val="false"/>
                <w:i w:val="false"/>
                <w:color w:val="000000"/>
                <w:sz w:val="20"/>
              </w:rPr>
              <w:t>по купонному вознаграждению</w:t>
            </w:r>
            <w:r>
              <w:br/>
            </w:r>
            <w:r>
              <w:rPr>
                <w:rFonts w:ascii="Times New Roman"/>
                <w:b w:val="false"/>
                <w:i w:val="false"/>
                <w:color w:val="000000"/>
                <w:sz w:val="20"/>
              </w:rPr>
              <w:t>по облигациям"</w:t>
            </w:r>
          </w:p>
        </w:tc>
      </w:tr>
    </w:tbl>
    <w:bookmarkStart w:name="z52" w:id="3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w:t>
      </w:r>
      <w:r>
        <w:br/>
      </w:r>
      <w:r>
        <w:rPr>
          <w:rFonts w:ascii="Times New Roman"/>
          <w:b/>
          <w:i w:val="false"/>
          <w:color w:val="000000"/>
        </w:rPr>
        <w:t>данных на безвозмездной основе "Отчет о фактическом использовании субсидий</w:t>
      </w:r>
      <w:r>
        <w:br/>
      </w:r>
      <w:r>
        <w:rPr>
          <w:rFonts w:ascii="Times New Roman"/>
          <w:b/>
          <w:i w:val="false"/>
          <w:color w:val="000000"/>
        </w:rPr>
        <w:t>по купонному вознаграждению по облигациям"</w:t>
      </w:r>
      <w:r>
        <w:br/>
      </w:r>
      <w:r>
        <w:rPr>
          <w:rFonts w:ascii="Times New Roman"/>
          <w:b/>
          <w:i w:val="false"/>
          <w:color w:val="000000"/>
        </w:rPr>
        <w:t>(индекс: форма КВО-1, периодичность: ежегодная)</w:t>
      </w:r>
    </w:p>
    <w:bookmarkEnd w:id="38"/>
    <w:bookmarkStart w:name="z53" w:id="39"/>
    <w:p>
      <w:pPr>
        <w:spacing w:after="0"/>
        <w:ind w:left="0"/>
        <w:jc w:val="left"/>
      </w:pPr>
      <w:r>
        <w:rPr>
          <w:rFonts w:ascii="Times New Roman"/>
          <w:b/>
          <w:i w:val="false"/>
          <w:color w:val="000000"/>
        </w:rPr>
        <w:t xml:space="preserve"> Глава 1. Общие положения</w:t>
      </w:r>
    </w:p>
    <w:bookmarkEnd w:id="39"/>
    <w:bookmarkStart w:name="z54" w:id="4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фактическом использовании субсидий по купонному вознаграждению по облигациям" (далее – Форма).</w:t>
      </w:r>
    </w:p>
    <w:bookmarkEnd w:id="40"/>
    <w:bookmarkStart w:name="z55" w:id="41"/>
    <w:p>
      <w:pPr>
        <w:spacing w:after="0"/>
        <w:ind w:left="0"/>
        <w:jc w:val="both"/>
      </w:pPr>
      <w:r>
        <w:rPr>
          <w:rFonts w:ascii="Times New Roman"/>
          <w:b w:val="false"/>
          <w:i w:val="false"/>
          <w:color w:val="000000"/>
          <w:sz w:val="28"/>
        </w:rPr>
        <w:t>
      2. Форма заполняется эмитентом.</w:t>
      </w:r>
    </w:p>
    <w:bookmarkEnd w:id="41"/>
    <w:bookmarkStart w:name="z56" w:id="42"/>
    <w:p>
      <w:pPr>
        <w:spacing w:after="0"/>
        <w:ind w:left="0"/>
        <w:jc w:val="both"/>
      </w:pPr>
      <w:r>
        <w:rPr>
          <w:rFonts w:ascii="Times New Roman"/>
          <w:b w:val="false"/>
          <w:i w:val="false"/>
          <w:color w:val="000000"/>
          <w:sz w:val="28"/>
        </w:rPr>
        <w:t>
      3. Форма подписывается исполнителем и руководителем, либо лицом, исполняющим его обязанности.</w:t>
      </w:r>
    </w:p>
    <w:bookmarkEnd w:id="42"/>
    <w:bookmarkStart w:name="z57" w:id="43"/>
    <w:p>
      <w:pPr>
        <w:spacing w:after="0"/>
        <w:ind w:left="0"/>
        <w:jc w:val="both"/>
      </w:pPr>
      <w:r>
        <w:rPr>
          <w:rFonts w:ascii="Times New Roman"/>
          <w:b w:val="false"/>
          <w:i w:val="false"/>
          <w:color w:val="000000"/>
          <w:sz w:val="28"/>
        </w:rPr>
        <w:t>
      4. Форма предоставляется эмитентом в Министерство сельского хозяйства Республики Казахстан ежегодно до 25 января года, следующего за отчетным.</w:t>
      </w:r>
    </w:p>
    <w:bookmarkEnd w:id="43"/>
    <w:bookmarkStart w:name="z58" w:id="44"/>
    <w:p>
      <w:pPr>
        <w:spacing w:after="0"/>
        <w:ind w:left="0"/>
        <w:jc w:val="left"/>
      </w:pPr>
      <w:r>
        <w:rPr>
          <w:rFonts w:ascii="Times New Roman"/>
          <w:b/>
          <w:i w:val="false"/>
          <w:color w:val="000000"/>
        </w:rPr>
        <w:t xml:space="preserve"> Глава 2. Пояснение по заполнению Формы</w:t>
      </w:r>
    </w:p>
    <w:bookmarkEnd w:id="44"/>
    <w:bookmarkStart w:name="z59" w:id="45"/>
    <w:p>
      <w:pPr>
        <w:spacing w:after="0"/>
        <w:ind w:left="0"/>
        <w:jc w:val="both"/>
      </w:pPr>
      <w:r>
        <w:rPr>
          <w:rFonts w:ascii="Times New Roman"/>
          <w:b w:val="false"/>
          <w:i w:val="false"/>
          <w:color w:val="000000"/>
          <w:sz w:val="28"/>
        </w:rPr>
        <w:t>
      5. В графе 1 Формы указывается наименование эмитента.</w:t>
      </w:r>
    </w:p>
    <w:bookmarkEnd w:id="45"/>
    <w:bookmarkStart w:name="z60" w:id="46"/>
    <w:p>
      <w:pPr>
        <w:spacing w:after="0"/>
        <w:ind w:left="0"/>
        <w:jc w:val="both"/>
      </w:pPr>
      <w:r>
        <w:rPr>
          <w:rFonts w:ascii="Times New Roman"/>
          <w:b w:val="false"/>
          <w:i w:val="false"/>
          <w:color w:val="000000"/>
          <w:sz w:val="28"/>
        </w:rPr>
        <w:t>
      6. В графе 2 Формы указывается бизнес-идентификационный номер.</w:t>
      </w:r>
    </w:p>
    <w:bookmarkEnd w:id="46"/>
    <w:bookmarkStart w:name="z61" w:id="47"/>
    <w:p>
      <w:pPr>
        <w:spacing w:after="0"/>
        <w:ind w:left="0"/>
        <w:jc w:val="both"/>
      </w:pPr>
      <w:r>
        <w:rPr>
          <w:rFonts w:ascii="Times New Roman"/>
          <w:b w:val="false"/>
          <w:i w:val="false"/>
          <w:color w:val="000000"/>
          <w:sz w:val="28"/>
        </w:rPr>
        <w:t>
      7. В графе 3 Формы указывается проспект облигаций (международный идентификационный номер (национальный идентификационный номер)).</w:t>
      </w:r>
    </w:p>
    <w:bookmarkEnd w:id="47"/>
    <w:bookmarkStart w:name="z62" w:id="48"/>
    <w:p>
      <w:pPr>
        <w:spacing w:after="0"/>
        <w:ind w:left="0"/>
        <w:jc w:val="both"/>
      </w:pPr>
      <w:r>
        <w:rPr>
          <w:rFonts w:ascii="Times New Roman"/>
          <w:b w:val="false"/>
          <w:i w:val="false"/>
          <w:color w:val="000000"/>
          <w:sz w:val="28"/>
        </w:rPr>
        <w:t>
      8. В графе 4 Формы указывается сумма облигационного займа.</w:t>
      </w:r>
    </w:p>
    <w:bookmarkEnd w:id="48"/>
    <w:bookmarkStart w:name="z63" w:id="49"/>
    <w:p>
      <w:pPr>
        <w:spacing w:after="0"/>
        <w:ind w:left="0"/>
        <w:jc w:val="both"/>
      </w:pPr>
      <w:r>
        <w:rPr>
          <w:rFonts w:ascii="Times New Roman"/>
          <w:b w:val="false"/>
          <w:i w:val="false"/>
          <w:color w:val="000000"/>
          <w:sz w:val="28"/>
        </w:rPr>
        <w:t>
      9. В графе 5 Формы указывается субсидий на весь срок обращения облигаций, за весь период и за отчетный период, в тенге.</w:t>
      </w:r>
    </w:p>
    <w:bookmarkEnd w:id="49"/>
    <w:bookmarkStart w:name="z64" w:id="50"/>
    <w:p>
      <w:pPr>
        <w:spacing w:after="0"/>
        <w:ind w:left="0"/>
        <w:jc w:val="both"/>
      </w:pPr>
      <w:r>
        <w:rPr>
          <w:rFonts w:ascii="Times New Roman"/>
          <w:b w:val="false"/>
          <w:i w:val="false"/>
          <w:color w:val="000000"/>
          <w:sz w:val="28"/>
        </w:rPr>
        <w:t>
      10. В графах 6 и 7 Формы указываются перечисленные субсидии за весь период и отчетный период, в тенге.</w:t>
      </w:r>
    </w:p>
    <w:bookmarkEnd w:id="50"/>
    <w:bookmarkStart w:name="z65" w:id="51"/>
    <w:p>
      <w:pPr>
        <w:spacing w:after="0"/>
        <w:ind w:left="0"/>
        <w:jc w:val="both"/>
      </w:pPr>
      <w:r>
        <w:rPr>
          <w:rFonts w:ascii="Times New Roman"/>
          <w:b w:val="false"/>
          <w:i w:val="false"/>
          <w:color w:val="000000"/>
          <w:sz w:val="28"/>
        </w:rPr>
        <w:t>
      11. В графах 8 и 9 Формы указывается отклонение (переплата, недостаток) за весь период и за отчетный период, в тенге.</w:t>
      </w:r>
    </w:p>
    <w:bookmarkEnd w:id="51"/>
    <w:bookmarkStart w:name="z66" w:id="52"/>
    <w:p>
      <w:pPr>
        <w:spacing w:after="0"/>
        <w:ind w:left="0"/>
        <w:jc w:val="both"/>
      </w:pPr>
      <w:r>
        <w:rPr>
          <w:rFonts w:ascii="Times New Roman"/>
          <w:b w:val="false"/>
          <w:i w:val="false"/>
          <w:color w:val="000000"/>
          <w:sz w:val="28"/>
        </w:rPr>
        <w:t>
      12. В графе 10 Формы указывается возврат неиспользованных субсидий (факт), в тенге.</w:t>
      </w:r>
    </w:p>
    <w:bookmarkEnd w:id="52"/>
    <w:bookmarkStart w:name="z67" w:id="53"/>
    <w:p>
      <w:pPr>
        <w:spacing w:after="0"/>
        <w:ind w:left="0"/>
        <w:jc w:val="both"/>
      </w:pPr>
      <w:r>
        <w:rPr>
          <w:rFonts w:ascii="Times New Roman"/>
          <w:b w:val="false"/>
          <w:i w:val="false"/>
          <w:color w:val="000000"/>
          <w:sz w:val="28"/>
        </w:rPr>
        <w:t>
      13. В графе 11 Формы указывается остаток субсидий, находящийся на банковском счете, в тенге.</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