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f43e" w14:textId="bb7f43e">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мая 2025 года № 15. Зарегистрировано в Министерстве юстиции Республики Казахстан 20 мая 2025 года № 36127.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нормативных правовых актов Республики Казахстан по вопросам регулирования банковской деятельности,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и девяносто четвертого </w:t>
      </w:r>
      <w:r>
        <w:rPr>
          <w:rFonts w:ascii="Times New Roman"/>
          <w:b w:val="false"/>
          <w:i w:val="false"/>
          <w:color w:val="000000"/>
          <w:sz w:val="28"/>
        </w:rPr>
        <w:t>пункта 2</w:t>
      </w:r>
      <w:r>
        <w:rPr>
          <w:rFonts w:ascii="Times New Roman"/>
          <w:b w:val="false"/>
          <w:i w:val="false"/>
          <w:color w:val="000000"/>
          <w:sz w:val="28"/>
        </w:rPr>
        <w:t xml:space="preserve"> Перечня, которые вводятся в действие с 1 января 2026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мая 2025 года № 15</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w:t>
      </w:r>
      <w:r>
        <w:br/>
      </w:r>
      <w:r>
        <w:rPr>
          <w:rFonts w:ascii="Times New Roman"/>
          <w:b/>
          <w:i w:val="false"/>
          <w:color w:val="000000"/>
        </w:rPr>
        <w:t>регулирования банковской деятельности, в которые вносятся изменения и дополнения</w:t>
      </w:r>
    </w:p>
    <w:bookmarkEnd w:id="9"/>
    <w:p>
      <w:pPr>
        <w:spacing w:after="0"/>
        <w:ind w:left="0"/>
        <w:jc w:val="both"/>
      </w:pPr>
      <w:bookmarkStart w:name="z16" w:id="10"/>
      <w:r>
        <w:rPr>
          <w:rFonts w:ascii="Times New Roman"/>
          <w:b w:val="false"/>
          <w:i w:val="false"/>
          <w:color w:val="ff0000"/>
          <w:sz w:val="28"/>
        </w:rPr>
        <w:t xml:space="preserve">
      1. Утратил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Утратил силу постановлением Правления Агентства РК по регулированию и развитию финансового рынка от 20.04.2026 </w:t>
      </w:r>
      <w:r>
        <w:rPr>
          <w:rFonts w:ascii="Times New Roman"/>
          <w:b w:val="false"/>
          <w:i w:val="false"/>
          <w:color w:val="000000"/>
          <w:sz w:val="28"/>
        </w:rPr>
        <w:t>№ 73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15" w:id="1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27 декабря 2024 года № 93 "О внесении изменений и дополнений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и постановление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35583) следующее изменение: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17" w:id="12"/>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12"/>
    <w:bookmarkStart w:name="z218" w:id="13"/>
    <w:p>
      <w:pPr>
        <w:spacing w:after="0"/>
        <w:ind w:left="0"/>
        <w:jc w:val="both"/>
      </w:pPr>
      <w:r>
        <w:rPr>
          <w:rFonts w:ascii="Times New Roman"/>
          <w:b w:val="false"/>
          <w:i w:val="false"/>
          <w:color w:val="000000"/>
          <w:sz w:val="28"/>
        </w:rPr>
        <w:t xml:space="preserve">
      абзацев тридцать пятого, тридцать шестого, пятьдесят четвертого, пятьдесят пятого, шестьдесят третьего, шестьдесят четвертого, шестьдесят пятого, шестьдесят шестого, восемьдесят четвертого, восемьдесят девятого, сто шестого, сто седьмого, сто сорок первого, сто сорок восьмого, сто пятьдесят первого, сто шестьдесят второго, сто шестьдесят третьего, сто восемьдесят восьмого, сто восемьдесят девятого, сто девяностого, сто девяносто первого, сто девяносто второго, сто девяносто третьего, сто девяносто четвертого, сто девяносто пятого, двести третьего, двести четвертого, двести двадцать первого, двести двадцать второго, двести двадцать третьего, двести двадцать четвертого, двести двадцать пятого, двести двадцать шестого, двести двадцать седьмого, двести двадцать восьмого, двести сорок шестого, двести пятидесятого, двести пятьдесят шестого, двести пятьдесят седьмого, двести пятьдесят восьмого, двести шестидесятого, двести шестьдесят второго, двести шестьдесят третьего, двести шестьдесят четвертого, двести шестьдесят пятого, двести шестьдесят шестого, двести шестьдесят седьмого, двести шестьдесят восьмого, двести шестьдесят девятого, двести семьдесят девятого, двести восьмидесятого, двести восемьдесят первого, двести восемьдесят второго, двести девяносто четвертого, двести девяносто пятого, двести девяносто шестого, двести девяносто седьмого, двести девяносто восьмого, двести девяносто девятого, трехсотого, триста первого, триста второго, триста третьего, триста четвертого, триста семьдесят девятого, четыреста семьдесят третьего, шестьсот четырнадцатого, шестьсот сорок девятого, шестьсот пятидесятого, шестьсот пятьдесят четвертого, шестьсот пятьдесят пятого, шестьсот пятьдесят шестого, шестьсот пятьдесят седьмого, шестьсот пятьдесят восьмого, шестьсот пятьдесят девятого, шестьсот шестидесятого, шестьсот шестьдесят первого, шестьсот шестьдесят второго, шестьсот шестьдесят третьего, шестьсот шестьдесят четвертого, шестьсот шестьдесят пятого, шестьсот шестьдесят шестого, шестьсот шестьдесят седьмого, шестьсот шестьдесят восьмого, шестьсот шестьдесят девятого, шестьсот семидесятого, шестьсот семьдесят первого, шестьсот семьдесят второго, шестьсот семьдесят третьего, шестьсот семьдесят четвертого, шестьсот семьдесят пятого, шестьсот семьдесят шестого, шестьсот семьдесят седьмого, шестьсот семьдесят восьмого, шестьсот семьдесят девятого, шестьсот восьмидесятого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которые вводятся в действие с 1 июля 2027 года;</w:t>
      </w:r>
    </w:p>
    <w:bookmarkEnd w:id="13"/>
    <w:bookmarkStart w:name="z219" w:id="14"/>
    <w:p>
      <w:pPr>
        <w:spacing w:after="0"/>
        <w:ind w:left="0"/>
        <w:jc w:val="both"/>
      </w:pPr>
      <w:r>
        <w:rPr>
          <w:rFonts w:ascii="Times New Roman"/>
          <w:b w:val="false"/>
          <w:i w:val="false"/>
          <w:color w:val="000000"/>
          <w:sz w:val="28"/>
        </w:rPr>
        <w:t xml:space="preserve">
      абзацев семьсот шестьдесят первого, семьсот шестьдесят второго, семьсот шестьдесят третьего, семьсот шестьдесят четвертого, семьсот шестьдесят пятого, семьсот шестьдесят шестого, семьсот шестьдесят седьмого, семьсот шестьдесят восьмого, семьсот шестьдесят девятого, семьсот семидесятого, семьсот семьдесят первого, семьсот семьдесят второго, семьсот семьдесят третьего, семьсот семьдесят четвертого, семьсот семьдесят пятого, семьсот семьдесят шестого, семьсот семьдесят седьмого, семьсот семьдесят восьмого и семьсот восьмидесятого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которые вводятся в действие с 1 июля 2025 года.".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Правления Агентства РК по регулированию и развитию финансового рынка от 14.04.2026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226" w:id="15"/>
    <w:p>
      <w:pPr>
        <w:spacing w:after="0"/>
        <w:ind w:left="0"/>
        <w:jc w:val="left"/>
      </w:pPr>
      <w:r>
        <w:rPr>
          <w:rFonts w:ascii="Times New Roman"/>
          <w:b/>
          <w:i w:val="false"/>
          <w:color w:val="000000"/>
        </w:rPr>
        <w:t xml:space="preserve"> Методика расчета кредитного риска по производным финансовым инструментам в целях расчета коэффициента левериджа</w:t>
      </w:r>
    </w:p>
    <w:bookmarkEnd w:id="15"/>
    <w:bookmarkStart w:name="z227" w:id="16"/>
    <w:p>
      <w:pPr>
        <w:spacing w:after="0"/>
        <w:ind w:left="0"/>
        <w:jc w:val="both"/>
      </w:pPr>
      <w:r>
        <w:rPr>
          <w:rFonts w:ascii="Times New Roman"/>
          <w:b w:val="false"/>
          <w:i w:val="false"/>
          <w:color w:val="000000"/>
          <w:sz w:val="28"/>
        </w:rPr>
        <w:t>
      Кредитный риск по операциям с производными финансовыми инструментами (далее - ПФИ) рассчитывается по формуле:</w:t>
      </w:r>
    </w:p>
    <w:bookmarkEnd w:id="16"/>
    <w:p>
      <w:pPr>
        <w:spacing w:after="0"/>
        <w:ind w:left="0"/>
        <w:jc w:val="both"/>
      </w:pPr>
      <w:r>
        <w:rPr>
          <w:rFonts w:ascii="Times New Roman"/>
          <w:b w:val="false"/>
          <w:i w:val="false"/>
          <w:color w:val="000000"/>
          <w:sz w:val="28"/>
        </w:rPr>
        <w:t>
      КПФИ = ТКР + ПКР + КРб,</w:t>
      </w:r>
    </w:p>
    <w:bookmarkStart w:name="z229" w:id="17"/>
    <w:p>
      <w:pPr>
        <w:spacing w:after="0"/>
        <w:ind w:left="0"/>
        <w:jc w:val="both"/>
      </w:pPr>
      <w:r>
        <w:rPr>
          <w:rFonts w:ascii="Times New Roman"/>
          <w:b w:val="false"/>
          <w:i w:val="false"/>
          <w:color w:val="000000"/>
          <w:sz w:val="28"/>
        </w:rPr>
        <w:t>
      где:</w:t>
      </w:r>
    </w:p>
    <w:bookmarkEnd w:id="17"/>
    <w:bookmarkStart w:name="z230" w:id="18"/>
    <w:p>
      <w:pPr>
        <w:spacing w:after="0"/>
        <w:ind w:left="0"/>
        <w:jc w:val="both"/>
      </w:pPr>
      <w:r>
        <w:rPr>
          <w:rFonts w:ascii="Times New Roman"/>
          <w:b w:val="false"/>
          <w:i w:val="false"/>
          <w:color w:val="000000"/>
          <w:sz w:val="28"/>
        </w:rPr>
        <w:t>
      ТКР - текущий кредитный риск (стоимость замещения финансового инструмента), отражающий на отчетную дату величину потерь в случае неисполнения контрагентом своих обязательств;</w:t>
      </w:r>
    </w:p>
    <w:bookmarkEnd w:id="18"/>
    <w:bookmarkStart w:name="z231" w:id="19"/>
    <w:p>
      <w:pPr>
        <w:spacing w:after="0"/>
        <w:ind w:left="0"/>
        <w:jc w:val="both"/>
      </w:pPr>
      <w:r>
        <w:rPr>
          <w:rFonts w:ascii="Times New Roman"/>
          <w:b w:val="false"/>
          <w:i w:val="false"/>
          <w:color w:val="000000"/>
          <w:sz w:val="28"/>
        </w:rPr>
        <w:t>
      ПКР - потенциальный кредитный риск (риск неисполнения контрагентом своих обязательств в течение срока от отчетной даты до даты валютирования в связи с неблагоприятным изменением стоимости базисного актива);</w:t>
      </w:r>
    </w:p>
    <w:bookmarkEnd w:id="19"/>
    <w:bookmarkStart w:name="z232" w:id="20"/>
    <w:p>
      <w:pPr>
        <w:spacing w:after="0"/>
        <w:ind w:left="0"/>
        <w:jc w:val="both"/>
      </w:pPr>
      <w:r>
        <w:rPr>
          <w:rFonts w:ascii="Times New Roman"/>
          <w:b w:val="false"/>
          <w:i w:val="false"/>
          <w:color w:val="000000"/>
          <w:sz w:val="28"/>
        </w:rPr>
        <w:t>
      КРб - кредитный риск в отношении базисного актива по выпущенным кредитным ПФИ.</w:t>
      </w:r>
    </w:p>
    <w:bookmarkEnd w:id="20"/>
    <w:bookmarkStart w:name="z233" w:id="21"/>
    <w:p>
      <w:pPr>
        <w:spacing w:after="0"/>
        <w:ind w:left="0"/>
        <w:jc w:val="both"/>
      </w:pPr>
      <w:r>
        <w:rPr>
          <w:rFonts w:ascii="Times New Roman"/>
          <w:b w:val="false"/>
          <w:i w:val="false"/>
          <w:color w:val="000000"/>
          <w:sz w:val="28"/>
        </w:rPr>
        <w:t>
      Текущий кредитный риск по ПФИ, которые удовлетворяют требованиям соглашения о неттинге по ПФИ, равен превышению суммы справедливых стоимостей всех ПФИ, представляющих собой актив, над суммой справедливых стоимостей всех ПФИ, представляющих собой обязательство.</w:t>
      </w:r>
    </w:p>
    <w:bookmarkEnd w:id="21"/>
    <w:bookmarkStart w:name="z234" w:id="22"/>
    <w:p>
      <w:pPr>
        <w:spacing w:after="0"/>
        <w:ind w:left="0"/>
        <w:jc w:val="both"/>
      </w:pPr>
      <w:r>
        <w:rPr>
          <w:rFonts w:ascii="Times New Roman"/>
          <w:b w:val="false"/>
          <w:i w:val="false"/>
          <w:color w:val="000000"/>
          <w:sz w:val="28"/>
        </w:rPr>
        <w:t>
      Текущий кредитный риск по ПФИ, не включенным в соглашение о неттинге по ПФИ, равен величине справедливой стоимости ПФИ, представляющих собой актив. По проданным опционам, не включенным в соглашение о неттинге, текущий кредитный риск не рассчитывается.</w:t>
      </w:r>
    </w:p>
    <w:bookmarkEnd w:id="22"/>
    <w:bookmarkStart w:name="z235" w:id="23"/>
    <w:p>
      <w:pPr>
        <w:spacing w:after="0"/>
        <w:ind w:left="0"/>
        <w:jc w:val="both"/>
      </w:pPr>
      <w:r>
        <w:rPr>
          <w:rFonts w:ascii="Times New Roman"/>
          <w:b w:val="false"/>
          <w:i w:val="false"/>
          <w:color w:val="000000"/>
          <w:sz w:val="28"/>
        </w:rPr>
        <w:t>
      При расчете текущего кредитного риска по ПФИ не учитываются суммы обеспечения по ПФИ, а также суммы прочих безвозвратных платежей, связанных с ПФИ, и уплаченной вариационной маржи.</w:t>
      </w:r>
    </w:p>
    <w:bookmarkEnd w:id="23"/>
    <w:bookmarkStart w:name="z236" w:id="24"/>
    <w:p>
      <w:pPr>
        <w:spacing w:after="0"/>
        <w:ind w:left="0"/>
        <w:jc w:val="both"/>
      </w:pPr>
      <w:r>
        <w:rPr>
          <w:rFonts w:ascii="Times New Roman"/>
          <w:b w:val="false"/>
          <w:i w:val="false"/>
          <w:color w:val="000000"/>
          <w:sz w:val="28"/>
        </w:rPr>
        <w:t>
      Полученная вариационная маржа принимается в уменьшение текущего кредитного риска по ПФИ, включенным в соглашение о неттинге по ПФИ, если одновременно выполняются следующие условия:</w:t>
      </w:r>
    </w:p>
    <w:bookmarkEnd w:id="24"/>
    <w:bookmarkStart w:name="z237" w:id="25"/>
    <w:p>
      <w:pPr>
        <w:spacing w:after="0"/>
        <w:ind w:left="0"/>
        <w:jc w:val="both"/>
      </w:pPr>
      <w:r>
        <w:rPr>
          <w:rFonts w:ascii="Times New Roman"/>
          <w:b w:val="false"/>
          <w:i w:val="false"/>
          <w:color w:val="000000"/>
          <w:sz w:val="28"/>
        </w:rPr>
        <w:t>
      отсутствуют ограничения на использование полученной вариационной маржи по сделкам, не подлежащим клирингу лицом, осуществляющим функции клиринговой организации (центрального контрагента), а также лицом, признанным центральным контрагентом в соответствии с нормами иностранной юрисдикции;</w:t>
      </w:r>
    </w:p>
    <w:bookmarkEnd w:id="25"/>
    <w:bookmarkStart w:name="z238" w:id="26"/>
    <w:p>
      <w:pPr>
        <w:spacing w:after="0"/>
        <w:ind w:left="0"/>
        <w:jc w:val="both"/>
      </w:pPr>
      <w:r>
        <w:rPr>
          <w:rFonts w:ascii="Times New Roman"/>
          <w:b w:val="false"/>
          <w:i w:val="false"/>
          <w:color w:val="000000"/>
          <w:sz w:val="28"/>
        </w:rPr>
        <w:t>
      в соответствии с соглашением (договором) между сторонами вариационная маржа рассчитывается и уплачивается ежедневно в полном объеме;</w:t>
      </w:r>
    </w:p>
    <w:bookmarkEnd w:id="26"/>
    <w:bookmarkStart w:name="z239" w:id="27"/>
    <w:p>
      <w:pPr>
        <w:spacing w:after="0"/>
        <w:ind w:left="0"/>
        <w:jc w:val="both"/>
      </w:pPr>
      <w:r>
        <w:rPr>
          <w:rFonts w:ascii="Times New Roman"/>
          <w:b w:val="false"/>
          <w:i w:val="false"/>
          <w:color w:val="000000"/>
          <w:sz w:val="28"/>
        </w:rPr>
        <w:t>
      вариационная маржа уплачивается в одной из валют, установленных в соглашении (договоре) между сторонами в качестве валют расчетов.</w:t>
      </w:r>
    </w:p>
    <w:bookmarkEnd w:id="27"/>
    <w:bookmarkStart w:name="z240" w:id="28"/>
    <w:p>
      <w:pPr>
        <w:spacing w:after="0"/>
        <w:ind w:left="0"/>
        <w:jc w:val="both"/>
      </w:pPr>
      <w:r>
        <w:rPr>
          <w:rFonts w:ascii="Times New Roman"/>
          <w:b w:val="false"/>
          <w:i w:val="false"/>
          <w:color w:val="000000"/>
          <w:sz w:val="28"/>
        </w:rPr>
        <w:t>
      Величина потенциального кредитного риска по ПФИ, не включенным в соглашение о неттинге по ПФИ,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приложению 7 к Нормативам и определяемый видом базисного актива и сроком погашения указанных финансовых инструментов.</w:t>
      </w:r>
    </w:p>
    <w:bookmarkEnd w:id="28"/>
    <w:bookmarkStart w:name="z241" w:id="29"/>
    <w:p>
      <w:pPr>
        <w:spacing w:after="0"/>
        <w:ind w:left="0"/>
        <w:jc w:val="both"/>
      </w:pPr>
      <w:r>
        <w:rPr>
          <w:rFonts w:ascii="Times New Roman"/>
          <w:b w:val="false"/>
          <w:i w:val="false"/>
          <w:color w:val="000000"/>
          <w:sz w:val="28"/>
        </w:rPr>
        <w:t>
      К валютно-процентным свопам применяются коэффициенты для золотовалютных сделок.</w:t>
      </w:r>
    </w:p>
    <w:bookmarkEnd w:id="29"/>
    <w:bookmarkStart w:name="z242" w:id="30"/>
    <w:p>
      <w:pPr>
        <w:spacing w:after="0"/>
        <w:ind w:left="0"/>
        <w:jc w:val="both"/>
      </w:pPr>
      <w:r>
        <w:rPr>
          <w:rFonts w:ascii="Times New Roman"/>
          <w:b w:val="false"/>
          <w:i w:val="false"/>
          <w:color w:val="000000"/>
          <w:sz w:val="28"/>
        </w:rPr>
        <w:t>
      Для сделок, предусматривающих несколько обменов базисными активами, объем потенциальных потерь увеличивается кратно количеству оставшихся обменов базисными активами.</w:t>
      </w:r>
    </w:p>
    <w:bookmarkEnd w:id="30"/>
    <w:bookmarkStart w:name="z243" w:id="31"/>
    <w:p>
      <w:pPr>
        <w:spacing w:after="0"/>
        <w:ind w:left="0"/>
        <w:jc w:val="both"/>
      </w:pPr>
      <w:r>
        <w:rPr>
          <w:rFonts w:ascii="Times New Roman"/>
          <w:b w:val="false"/>
          <w:i w:val="false"/>
          <w:color w:val="000000"/>
          <w:sz w:val="28"/>
        </w:rPr>
        <w:t>
      Величина потенциального риска не рассчитывается для проданных опционов, а также процентных свопов (за исключением валютно-процентных свопов), предусматривающих обязанность каждой из сторон выплачивать другой стороне суммы денежных средств в единой валюте, рассчитанных исходя из двух различных плавающих процентных ставок, начисляемых на сумму базисного актива.</w:t>
      </w:r>
    </w:p>
    <w:bookmarkEnd w:id="31"/>
    <w:bookmarkStart w:name="z244" w:id="32"/>
    <w:p>
      <w:pPr>
        <w:spacing w:after="0"/>
        <w:ind w:left="0"/>
        <w:jc w:val="both"/>
      </w:pPr>
      <w:r>
        <w:rPr>
          <w:rFonts w:ascii="Times New Roman"/>
          <w:b w:val="false"/>
          <w:i w:val="false"/>
          <w:color w:val="000000"/>
          <w:sz w:val="28"/>
        </w:rPr>
        <w:t>
      По сделкам, условия которых пересматриваются на заранее определенные даты, за срок до даты валютирования принимается период, оставшийся до следующей даты пересмотра.</w:t>
      </w:r>
    </w:p>
    <w:bookmarkEnd w:id="32"/>
    <w:bookmarkStart w:name="z245" w:id="33"/>
    <w:p>
      <w:pPr>
        <w:spacing w:after="0"/>
        <w:ind w:left="0"/>
        <w:jc w:val="both"/>
      </w:pPr>
      <w:r>
        <w:rPr>
          <w:rFonts w:ascii="Times New Roman"/>
          <w:b w:val="false"/>
          <w:i w:val="false"/>
          <w:color w:val="000000"/>
          <w:sz w:val="28"/>
        </w:rPr>
        <w:t xml:space="preserve">
      К кредитным ПФИ, под которыми понимаются ПФИ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или ПФИ, признаваемые таковыми в соответствии законодательством иностранного государства или нормами международного договора предусматривающие обязанность сторон или стороны договора периодически или единовременно уплачивать денежные суммы в зависимости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применяется коэффициент 5 (пять) процентов, если базисный актив удовлетворяет одному из следующих критериев (далее - квалификационные критерии):</w:t>
      </w:r>
    </w:p>
    <w:bookmarkEnd w:id="33"/>
    <w:bookmarkStart w:name="z246" w:id="34"/>
    <w:p>
      <w:pPr>
        <w:spacing w:after="0"/>
        <w:ind w:left="0"/>
        <w:jc w:val="both"/>
      </w:pPr>
      <w:r>
        <w:rPr>
          <w:rFonts w:ascii="Times New Roman"/>
          <w:b w:val="false"/>
          <w:i w:val="false"/>
          <w:color w:val="000000"/>
          <w:sz w:val="28"/>
        </w:rPr>
        <w:t>
      является долговой ценной бумагой, выпущенной международным банком развития или органом исполнительной власти любого уровня;</w:t>
      </w:r>
    </w:p>
    <w:bookmarkEnd w:id="34"/>
    <w:bookmarkStart w:name="z247" w:id="35"/>
    <w:p>
      <w:pPr>
        <w:spacing w:after="0"/>
        <w:ind w:left="0"/>
        <w:jc w:val="both"/>
      </w:pPr>
      <w:r>
        <w:rPr>
          <w:rFonts w:ascii="Times New Roman"/>
          <w:b w:val="false"/>
          <w:i w:val="false"/>
          <w:color w:val="000000"/>
          <w:sz w:val="28"/>
        </w:rPr>
        <w:t>
      является долговой ценной бумагой, имеющей один из следующих рейтингов:</w:t>
      </w:r>
    </w:p>
    <w:bookmarkEnd w:id="35"/>
    <w:bookmarkStart w:name="z248" w:id="36"/>
    <w:p>
      <w:pPr>
        <w:spacing w:after="0"/>
        <w:ind w:left="0"/>
        <w:jc w:val="both"/>
      </w:pPr>
      <w:r>
        <w:rPr>
          <w:rFonts w:ascii="Times New Roman"/>
          <w:b w:val="false"/>
          <w:i w:val="false"/>
          <w:color w:val="000000"/>
          <w:sz w:val="28"/>
        </w:rPr>
        <w:t>
      текущие рейтинги долгосрочной кредитоспособности по обязательствам в тенге или иностранной валюте, присвоенные как минимум двумя из иностранных кредитных рейтинговых агентств на уровне не ниже "ВВВ" по международной рейтинговой шкале "Эс-энд-Пи Глобал Рейтингс" (S&amp;P Global Ratings) или "Фитч Рейтингс" (Fitch Ratings) либо на уровне не ниже "Ваа" по международной рейтинговой шкале "Мудис Инвесторс Сервис" (Moody's Investors Service);</w:t>
      </w:r>
    </w:p>
    <w:bookmarkEnd w:id="36"/>
    <w:bookmarkStart w:name="z249" w:id="37"/>
    <w:p>
      <w:pPr>
        <w:spacing w:after="0"/>
        <w:ind w:left="0"/>
        <w:jc w:val="both"/>
      </w:pPr>
      <w:r>
        <w:rPr>
          <w:rFonts w:ascii="Times New Roman"/>
          <w:b w:val="false"/>
          <w:i w:val="false"/>
          <w:color w:val="000000"/>
          <w:sz w:val="28"/>
        </w:rPr>
        <w:t>
      текущий рейтинг долгосрочной кредитоспособности, присвоенный одним иностранным кредитным рейтинговым агентством на уровне, установленном настоящим пунктом.</w:t>
      </w:r>
    </w:p>
    <w:bookmarkEnd w:id="37"/>
    <w:bookmarkStart w:name="z250" w:id="38"/>
    <w:p>
      <w:pPr>
        <w:spacing w:after="0"/>
        <w:ind w:left="0"/>
        <w:jc w:val="both"/>
      </w:pPr>
      <w:r>
        <w:rPr>
          <w:rFonts w:ascii="Times New Roman"/>
          <w:b w:val="false"/>
          <w:i w:val="false"/>
          <w:color w:val="000000"/>
          <w:sz w:val="28"/>
        </w:rPr>
        <w:t>
      К кредитным ПФИ, базисный актив которых не удовлетворяет квалификационным критериям, применяется коэффициент 10 (десять) процентов.</w:t>
      </w:r>
    </w:p>
    <w:bookmarkEnd w:id="38"/>
    <w:bookmarkStart w:name="z251" w:id="39"/>
    <w:p>
      <w:pPr>
        <w:spacing w:after="0"/>
        <w:ind w:left="0"/>
        <w:jc w:val="both"/>
      </w:pPr>
      <w:r>
        <w:rPr>
          <w:rFonts w:ascii="Times New Roman"/>
          <w:b w:val="false"/>
          <w:i w:val="false"/>
          <w:color w:val="000000"/>
          <w:sz w:val="28"/>
        </w:rPr>
        <w:t>
      К кредитным ПФИ с несколькими базисными активами применяется коэффициент 5 (пять) процентов только в случае, когда все базисные активы удовлетворяют квалификационным критериям. В ином случае применяется коэффициент 10 (десять) процентов.</w:t>
      </w:r>
    </w:p>
    <w:bookmarkEnd w:id="39"/>
    <w:bookmarkStart w:name="z252" w:id="40"/>
    <w:p>
      <w:pPr>
        <w:spacing w:after="0"/>
        <w:ind w:left="0"/>
        <w:jc w:val="both"/>
      </w:pPr>
      <w:r>
        <w:rPr>
          <w:rFonts w:ascii="Times New Roman"/>
          <w:b w:val="false"/>
          <w:i w:val="false"/>
          <w:color w:val="000000"/>
          <w:sz w:val="28"/>
        </w:rPr>
        <w:t>
      К сделкам с базисными активами, не указанными выше, применяются коэффициенты для прочих товарных сделок.</w:t>
      </w:r>
    </w:p>
    <w:bookmarkEnd w:id="40"/>
    <w:bookmarkStart w:name="z253" w:id="41"/>
    <w:p>
      <w:pPr>
        <w:spacing w:after="0"/>
        <w:ind w:left="0"/>
        <w:jc w:val="both"/>
      </w:pPr>
      <w:r>
        <w:rPr>
          <w:rFonts w:ascii="Times New Roman"/>
          <w:b w:val="false"/>
          <w:i w:val="false"/>
          <w:color w:val="000000"/>
          <w:sz w:val="28"/>
        </w:rPr>
        <w:t>
      Под номинальной контрактной стоимостью ПФИ понимается стоимость ПФИ, по которой они отражены на соответствующих внебалансовых счетах на дату расчета норматива. При этом за номинальную контрактную стоимость бивалютных сделок принимается та валюта, по которой у банка формируются требования.</w:t>
      </w:r>
    </w:p>
    <w:bookmarkEnd w:id="41"/>
    <w:bookmarkStart w:name="z254" w:id="42"/>
    <w:p>
      <w:pPr>
        <w:spacing w:after="0"/>
        <w:ind w:left="0"/>
        <w:jc w:val="both"/>
      </w:pPr>
      <w:r>
        <w:rPr>
          <w:rFonts w:ascii="Times New Roman"/>
          <w:b w:val="false"/>
          <w:i w:val="false"/>
          <w:color w:val="000000"/>
          <w:sz w:val="28"/>
        </w:rPr>
        <w:t>
      Под номинальной контрактной стоимостью расчетных валютных форвардов и расчетных ПФИ, в которых суммы требований и обязательств сторон сделки эквивалентны сумме денежных потоков, понимается нетто-величина денежных потоков в каждой валюте, подлежащая получению в каждую дату валютирования.</w:t>
      </w:r>
    </w:p>
    <w:bookmarkEnd w:id="42"/>
    <w:bookmarkStart w:name="z255" w:id="43"/>
    <w:p>
      <w:pPr>
        <w:spacing w:after="0"/>
        <w:ind w:left="0"/>
        <w:jc w:val="both"/>
      </w:pPr>
      <w:r>
        <w:rPr>
          <w:rFonts w:ascii="Times New Roman"/>
          <w:b w:val="false"/>
          <w:i w:val="false"/>
          <w:color w:val="000000"/>
          <w:sz w:val="28"/>
        </w:rPr>
        <w:t>
      Номинальная контрактная стоимость прочих расчетных ПФИ определяется по аналогии с договором (сделкой), предусматривающим (предусматривающей) поставку базисного актива.</w:t>
      </w:r>
    </w:p>
    <w:bookmarkEnd w:id="43"/>
    <w:bookmarkStart w:name="z256" w:id="44"/>
    <w:p>
      <w:pPr>
        <w:spacing w:after="0"/>
        <w:ind w:left="0"/>
        <w:jc w:val="both"/>
      </w:pPr>
      <w:r>
        <w:rPr>
          <w:rFonts w:ascii="Times New Roman"/>
          <w:b w:val="false"/>
          <w:i w:val="false"/>
          <w:color w:val="000000"/>
          <w:sz w:val="28"/>
        </w:rPr>
        <w:t>
      Величина потенциального риска по ПФИ, включенным в соглашение о неттинге по ПФИ, определяется по формуле:</w:t>
      </w:r>
    </w:p>
    <w:bookmarkEnd w:id="44"/>
    <w:p>
      <w:pPr>
        <w:spacing w:after="0"/>
        <w:ind w:left="0"/>
        <w:jc w:val="both"/>
      </w:pPr>
      <w:r>
        <w:rPr>
          <w:rFonts w:ascii="Times New Roman"/>
          <w:b w:val="false"/>
          <w:i w:val="false"/>
          <w:color w:val="000000"/>
          <w:sz w:val="28"/>
        </w:rPr>
        <w:t>
      ПКР = 0,4 х ПРб + 0,6 х k х ПРб,</w:t>
      </w:r>
    </w:p>
    <w:bookmarkStart w:name="z258" w:id="45"/>
    <w:p>
      <w:pPr>
        <w:spacing w:after="0"/>
        <w:ind w:left="0"/>
        <w:jc w:val="both"/>
      </w:pPr>
      <w:r>
        <w:rPr>
          <w:rFonts w:ascii="Times New Roman"/>
          <w:b w:val="false"/>
          <w:i w:val="false"/>
          <w:color w:val="000000"/>
          <w:sz w:val="28"/>
        </w:rPr>
        <w:t>
      где:</w:t>
      </w:r>
    </w:p>
    <w:bookmarkEnd w:id="45"/>
    <w:bookmarkStart w:name="z259" w:id="46"/>
    <w:p>
      <w:pPr>
        <w:spacing w:after="0"/>
        <w:ind w:left="0"/>
        <w:jc w:val="both"/>
      </w:pPr>
      <w:r>
        <w:rPr>
          <w:rFonts w:ascii="Times New Roman"/>
          <w:b w:val="false"/>
          <w:i w:val="false"/>
          <w:color w:val="000000"/>
          <w:sz w:val="28"/>
        </w:rPr>
        <w:t>
      ПРб - величина потенциального риска по тем же самым инструментам, рассчитанная без учета соглашения о неттинге по ПФИ;</w:t>
      </w:r>
    </w:p>
    <w:bookmarkEnd w:id="46"/>
    <w:bookmarkStart w:name="z260" w:id="47"/>
    <w:p>
      <w:pPr>
        <w:spacing w:after="0"/>
        <w:ind w:left="0"/>
        <w:jc w:val="both"/>
      </w:pPr>
      <w:r>
        <w:rPr>
          <w:rFonts w:ascii="Times New Roman"/>
          <w:b w:val="false"/>
          <w:i w:val="false"/>
          <w:color w:val="000000"/>
          <w:sz w:val="28"/>
        </w:rPr>
        <w:t>
      k - коэффициент, определяемый как отношение стоимости замещения по ПФИ, включенным в соглашение о неттинге по ПФИ, к стоимости замещения по ПФИ, включенным в соглашение о неттинге по ПФИ, без учета этого соглашения:</w:t>
      </w:r>
    </w:p>
    <w:bookmarkEnd w:id="47"/>
    <w:bookmarkStart w:name="z261" w:id="48"/>
    <w:p>
      <w:pPr>
        <w:spacing w:after="0"/>
        <w:ind w:left="0"/>
        <w:jc w:val="both"/>
      </w:pPr>
      <w:r>
        <w:rPr>
          <w:rFonts w:ascii="Times New Roman"/>
          <w:b w:val="false"/>
          <w:i w:val="false"/>
          <w:color w:val="000000"/>
          <w:sz w:val="28"/>
        </w:rPr>
        <w:t>
      Полученная вариационная маржа не принимается в уменьшение потенциального риска и не включается в расчет величин, применяемых для расчета коэффициента к.</w:t>
      </w:r>
    </w:p>
    <w:bookmarkEnd w:id="48"/>
    <w:bookmarkStart w:name="z262" w:id="49"/>
    <w:p>
      <w:pPr>
        <w:spacing w:after="0"/>
        <w:ind w:left="0"/>
        <w:jc w:val="both"/>
      </w:pPr>
      <w:r>
        <w:rPr>
          <w:rFonts w:ascii="Times New Roman"/>
          <w:b w:val="false"/>
          <w:i w:val="false"/>
          <w:color w:val="000000"/>
          <w:sz w:val="28"/>
        </w:rPr>
        <w:t>
      В случае если значение в числителе меньше нуля, коэффициент k признается равным нулю.</w:t>
      </w:r>
    </w:p>
    <w:bookmarkEnd w:id="49"/>
    <w:bookmarkStart w:name="z263" w:id="50"/>
    <w:p>
      <w:pPr>
        <w:spacing w:after="0"/>
        <w:ind w:left="0"/>
        <w:jc w:val="both"/>
      </w:pPr>
      <w:r>
        <w:rPr>
          <w:rFonts w:ascii="Times New Roman"/>
          <w:b w:val="false"/>
          <w:i w:val="false"/>
          <w:color w:val="000000"/>
          <w:sz w:val="28"/>
        </w:rPr>
        <w:t>
      КРб - Кредитный риск в отношении базисного актива по выпущенным кредитным ПФИ рассчитывается как совокупная сумма денежных обязательств банка, выпустившего кредитные ПФИ, в отношении базисных активов данных кредитных ПФИ (далее - проданная кредитная защита) за вычетом отрицательной справедливой стоимости данных кредитных ПФИ, которая принимается в расчет основного капитала.</w:t>
      </w:r>
    </w:p>
    <w:bookmarkEnd w:id="50"/>
    <w:bookmarkStart w:name="z264" w:id="51"/>
    <w:p>
      <w:pPr>
        <w:spacing w:after="0"/>
        <w:ind w:left="0"/>
        <w:jc w:val="both"/>
      </w:pPr>
      <w:r>
        <w:rPr>
          <w:rFonts w:ascii="Times New Roman"/>
          <w:b w:val="false"/>
          <w:i w:val="false"/>
          <w:color w:val="000000"/>
          <w:sz w:val="28"/>
        </w:rPr>
        <w:t>
      Сумма проданной кредитной защиты уменьшается на сумму купленной банком кредитной защиты в отношении долговых обязательств того же лица, что и базисные активы выпущенных кредитных ПФИ, при одновременном выполнении следующих условий:</w:t>
      </w:r>
    </w:p>
    <w:bookmarkEnd w:id="51"/>
    <w:bookmarkStart w:name="z265" w:id="52"/>
    <w:p>
      <w:pPr>
        <w:spacing w:after="0"/>
        <w:ind w:left="0"/>
        <w:jc w:val="both"/>
      </w:pPr>
      <w:r>
        <w:rPr>
          <w:rFonts w:ascii="Times New Roman"/>
          <w:b w:val="false"/>
          <w:i w:val="false"/>
          <w:color w:val="000000"/>
          <w:sz w:val="28"/>
        </w:rPr>
        <w:t>
      очередность исполнения обязательства, являющегося базисным активом купленного банком кредитного ПФИ, ниже или равна очередности исполнения обязательства, являющегося базисным активом проданного банком кредитного ПФИ;</w:t>
      </w:r>
    </w:p>
    <w:bookmarkEnd w:id="52"/>
    <w:bookmarkStart w:name="z266" w:id="53"/>
    <w:p>
      <w:pPr>
        <w:spacing w:after="0"/>
        <w:ind w:left="0"/>
        <w:jc w:val="both"/>
      </w:pPr>
      <w:r>
        <w:rPr>
          <w:rFonts w:ascii="Times New Roman"/>
          <w:b w:val="false"/>
          <w:i w:val="false"/>
          <w:color w:val="000000"/>
          <w:sz w:val="28"/>
        </w:rPr>
        <w:t>
      оставшийся срок до погашения купленной кредитной защиты равен оставшемуся сроку до погашения проданной кредитной защиты или больше него.</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