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7c1" w14:textId="d6d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14 мая 2020 года № 11-1-4/155 "Об утверждении Правил оказания государственной услуги "Оформление свидетельства на возвращение"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8 мая 2025 года № 11-1-4/265. Зарегистрирован в Министерстве юстиции Республики Казахстан 12 мая 2025 года № 36096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14 мая 2020 года № 11-1-4/155 "Об утверждении Правил оказания государственной услуги "Оформление свидетельства на возвращение" (зарегистрирован в Реестре государственной регистрации нормативных правовых актов под № 20642)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свидетельства на возвращение",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не позднее трех рабочих дней со дня получения письма от Министерства внутренних дел выдает услугополучателю оформленное свидетельство на возвращение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(зарегистрирован в Реестре государственной регистрации нормативных правовых актов под № 33227).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услуги, срок оказания которого составляет десять рабочих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двух рабочих дней со дня получения предварительного решения.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свидетельство на возвращение либо направляет мотивированный отказ в оказании государственной услуги.".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