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cd381" w14:textId="93cd3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критериев оценки степени риска и проверочного листа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Совместный приказ и.о. Министра водных ресурсов и ирригации Республики Казахстан от 30 апреля 2025 года № 85-НҚ и и.о. Министра национальной экономики Республики Казахстан от 2 мая 2025 года № 25. Зарегистрирован в Министерстве юстиции Республики Казахстан 5 мая 2025 года № 36074.</w:t>
      </w:r>
    </w:p>
    <w:p>
      <w:pPr>
        <w:spacing w:after="0"/>
        <w:ind w:left="0"/>
        <w:jc w:val="both"/>
      </w:pPr>
      <w:r>
        <w:rPr>
          <w:rFonts w:ascii="Times New Roman"/>
          <w:b w:val="false"/>
          <w:i w:val="false"/>
          <w:color w:val="ff0000"/>
          <w:sz w:val="28"/>
        </w:rPr>
        <w:t xml:space="preserve">
      Сноска. Заголовок – в редакции совместного приказа и.о. Министра водных ресурсов и ирригации РК от 03.07.2025 </w:t>
      </w:r>
      <w:r>
        <w:rPr>
          <w:rFonts w:ascii="Times New Roman"/>
          <w:b w:val="false"/>
          <w:i w:val="false"/>
          <w:color w:val="ff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p>
    <w:bookmarkStart w:name="z7"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141,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w:t>
      </w:r>
      <w:r>
        <w:rPr>
          <w:rFonts w:ascii="Times New Roman"/>
          <w:b/>
          <w:i w:val="false"/>
          <w:color w:val="000000"/>
          <w:sz w:val="28"/>
        </w:rPr>
        <w:t>ПРИКАЗЫВАЕМ:</w:t>
      </w:r>
    </w:p>
    <w:bookmarkEnd w:id="0"/>
    <w:bookmarkStart w:name="z8" w:id="1"/>
    <w:p>
      <w:pPr>
        <w:spacing w:after="0"/>
        <w:ind w:left="0"/>
        <w:jc w:val="both"/>
      </w:pPr>
      <w:r>
        <w:rPr>
          <w:rFonts w:ascii="Times New Roman"/>
          <w:b w:val="false"/>
          <w:i w:val="false"/>
          <w:color w:val="000000"/>
          <w:sz w:val="28"/>
        </w:rPr>
        <w:t>
      1. Утвердить прилагаемые:</w:t>
      </w:r>
    </w:p>
    <w:bookmarkEnd w:id="1"/>
    <w:bookmarkStart w:name="z9" w:id="2"/>
    <w:p>
      <w:pPr>
        <w:spacing w:after="0"/>
        <w:ind w:left="0"/>
        <w:jc w:val="both"/>
      </w:pPr>
      <w:r>
        <w:rPr>
          <w:rFonts w:ascii="Times New Roman"/>
          <w:b w:val="false"/>
          <w:i w:val="false"/>
          <w:color w:val="000000"/>
          <w:sz w:val="28"/>
        </w:rPr>
        <w:t xml:space="preserve">
      1) критерии оценки степени риска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совместному приказу;</w:t>
      </w:r>
    </w:p>
    <w:bookmarkEnd w:id="2"/>
    <w:bookmarkStart w:name="z10" w:id="3"/>
    <w:p>
      <w:pPr>
        <w:spacing w:after="0"/>
        <w:ind w:left="0"/>
        <w:jc w:val="both"/>
      </w:pPr>
      <w:r>
        <w:rPr>
          <w:rFonts w:ascii="Times New Roman"/>
          <w:b w:val="false"/>
          <w:i w:val="false"/>
          <w:color w:val="000000"/>
          <w:sz w:val="28"/>
        </w:rPr>
        <w:t xml:space="preserve">
      2) проверочный лист в сфере естественных монополий по услугам подачи воды по каналам, подачи воды для орошения и регулирования поверхностного стока при помощи подпорных гидротехнических сооружений,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совместному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совместного приказа и.о. Министра водных ресурсов и ирригации РК от 03.07.2025 </w:t>
      </w:r>
      <w:r>
        <w:rPr>
          <w:rFonts w:ascii="Times New Roman"/>
          <w:b w:val="false"/>
          <w:i w:val="false"/>
          <w:color w:val="00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4"/>
    <w:p>
      <w:pPr>
        <w:spacing w:after="0"/>
        <w:ind w:left="0"/>
        <w:jc w:val="both"/>
      </w:pPr>
      <w:r>
        <w:rPr>
          <w:rFonts w:ascii="Times New Roman"/>
          <w:b w:val="false"/>
          <w:i w:val="false"/>
          <w:color w:val="000000"/>
          <w:sz w:val="28"/>
        </w:rPr>
        <w:t xml:space="preserve">
      2. Департаменту тарифной политики Министерства водных ресурсов и ирригации Республики Казахстан в установленном законодательством порядке обеспечить: </w:t>
      </w:r>
    </w:p>
    <w:bookmarkEnd w:id="4"/>
    <w:bookmarkStart w:name="z12" w:id="5"/>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5"/>
    <w:bookmarkStart w:name="z13" w:id="6"/>
    <w:p>
      <w:pPr>
        <w:spacing w:after="0"/>
        <w:ind w:left="0"/>
        <w:jc w:val="both"/>
      </w:pPr>
      <w:r>
        <w:rPr>
          <w:rFonts w:ascii="Times New Roman"/>
          <w:b w:val="false"/>
          <w:i w:val="false"/>
          <w:color w:val="000000"/>
          <w:sz w:val="28"/>
        </w:rPr>
        <w:t>
      2) размещение настоящего совместного приказа на интернет-ресурсе Министерства водных ресурсов и ирригации Республики Казахстан после его официального опубликования;</w:t>
      </w:r>
    </w:p>
    <w:bookmarkEnd w:id="6"/>
    <w:bookmarkStart w:name="z14" w:id="7"/>
    <w:p>
      <w:pPr>
        <w:spacing w:after="0"/>
        <w:ind w:left="0"/>
        <w:jc w:val="both"/>
      </w:pPr>
      <w:r>
        <w:rPr>
          <w:rFonts w:ascii="Times New Roman"/>
          <w:b w:val="false"/>
          <w:i w:val="false"/>
          <w:color w:val="000000"/>
          <w:sz w:val="28"/>
        </w:rPr>
        <w:t>
      3)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информационной системе "Единый реестр субъектов и объектов проверок".</w:t>
      </w:r>
    </w:p>
    <w:bookmarkEnd w:id="7"/>
    <w:bookmarkStart w:name="z15" w:id="8"/>
    <w:p>
      <w:pPr>
        <w:spacing w:after="0"/>
        <w:ind w:left="0"/>
        <w:jc w:val="both"/>
      </w:pPr>
      <w:r>
        <w:rPr>
          <w:rFonts w:ascii="Times New Roman"/>
          <w:b w:val="false"/>
          <w:i w:val="false"/>
          <w:color w:val="000000"/>
          <w:sz w:val="28"/>
        </w:rPr>
        <w:t>
      3. Контроль за исполнением настоящего совместного приказа возложить на курирующего вице-министра водных ресурсов и ирригации Республики Казахстан.</w:t>
      </w:r>
    </w:p>
    <w:bookmarkEnd w:id="8"/>
    <w:bookmarkStart w:name="z16" w:id="9"/>
    <w:p>
      <w:pPr>
        <w:spacing w:after="0"/>
        <w:ind w:left="0"/>
        <w:jc w:val="both"/>
      </w:pPr>
      <w:r>
        <w:rPr>
          <w:rFonts w:ascii="Times New Roman"/>
          <w:b w:val="false"/>
          <w:i w:val="false"/>
          <w:color w:val="000000"/>
          <w:sz w:val="28"/>
        </w:rPr>
        <w:t>
      4. Настоящий совместный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национальной экономики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__________А. Амрин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И.о. Министра водных ресурсов 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ирригации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__________Н. Алдамжаров</w:t>
            </w:r>
            <w:r>
              <w:rPr>
                <w:rFonts w:ascii="Times New Roman"/>
                <w:b w:val="false"/>
                <w:i w:val="false"/>
                <w:color w:val="000000"/>
                <w:sz w:val="20"/>
              </w:rPr>
              <w:t>
</w:t>
            </w:r>
          </w:p>
        </w:tc>
      </w:tr>
    </w:tbl>
    <w:bookmarkStart w:name="z19" w:id="10"/>
    <w:p>
      <w:pPr>
        <w:spacing w:after="0"/>
        <w:ind w:left="0"/>
        <w:jc w:val="both"/>
      </w:pPr>
      <w:r>
        <w:rPr>
          <w:rFonts w:ascii="Times New Roman"/>
          <w:b w:val="false"/>
          <w:i w:val="false"/>
          <w:color w:val="000000"/>
          <w:sz w:val="28"/>
        </w:rPr>
        <w:t>
      "СОГЛАСОВАН"</w:t>
      </w:r>
    </w:p>
    <w:bookmarkEnd w:id="10"/>
    <w:bookmarkStart w:name="z20" w:id="11"/>
    <w:p>
      <w:pPr>
        <w:spacing w:after="0"/>
        <w:ind w:left="0"/>
        <w:jc w:val="both"/>
      </w:pPr>
      <w:r>
        <w:rPr>
          <w:rFonts w:ascii="Times New Roman"/>
          <w:b w:val="false"/>
          <w:i w:val="false"/>
          <w:color w:val="000000"/>
          <w:sz w:val="28"/>
        </w:rPr>
        <w:t xml:space="preserve">
      Комитет по правовой </w:t>
      </w:r>
    </w:p>
    <w:bookmarkEnd w:id="11"/>
    <w:bookmarkStart w:name="z21" w:id="12"/>
    <w:p>
      <w:pPr>
        <w:spacing w:after="0"/>
        <w:ind w:left="0"/>
        <w:jc w:val="both"/>
      </w:pPr>
      <w:r>
        <w:rPr>
          <w:rFonts w:ascii="Times New Roman"/>
          <w:b w:val="false"/>
          <w:i w:val="false"/>
          <w:color w:val="000000"/>
          <w:sz w:val="28"/>
        </w:rPr>
        <w:t xml:space="preserve">
      статистике и специальным учетам </w:t>
      </w:r>
    </w:p>
    <w:bookmarkEnd w:id="12"/>
    <w:bookmarkStart w:name="z22" w:id="13"/>
    <w:p>
      <w:pPr>
        <w:spacing w:after="0"/>
        <w:ind w:left="0"/>
        <w:jc w:val="both"/>
      </w:pPr>
      <w:r>
        <w:rPr>
          <w:rFonts w:ascii="Times New Roman"/>
          <w:b w:val="false"/>
          <w:i w:val="false"/>
          <w:color w:val="000000"/>
          <w:sz w:val="28"/>
        </w:rPr>
        <w:t xml:space="preserve">
      Генеральной прокуратуры </w:t>
      </w:r>
    </w:p>
    <w:bookmarkEnd w:id="13"/>
    <w:bookmarkStart w:name="z23" w:id="14"/>
    <w:p>
      <w:pPr>
        <w:spacing w:after="0"/>
        <w:ind w:left="0"/>
        <w:jc w:val="both"/>
      </w:pPr>
      <w:r>
        <w:rPr>
          <w:rFonts w:ascii="Times New Roman"/>
          <w:b w:val="false"/>
          <w:i w:val="false"/>
          <w:color w:val="000000"/>
          <w:sz w:val="28"/>
        </w:rPr>
        <w:t>
      Республики Казахстан</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национальной</w:t>
            </w:r>
            <w:r>
              <w:br/>
            </w: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мая 2025 года № 25 и</w:t>
            </w:r>
            <w:r>
              <w:br/>
            </w:r>
            <w:r>
              <w:rPr>
                <w:rFonts w:ascii="Times New Roman"/>
                <w:b w:val="false"/>
                <w:i w:val="false"/>
                <w:color w:val="000000"/>
                <w:sz w:val="20"/>
              </w:rPr>
              <w:t>И.о. Министра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апреля 2025 года</w:t>
            </w:r>
            <w:r>
              <w:br/>
            </w:r>
            <w:r>
              <w:rPr>
                <w:rFonts w:ascii="Times New Roman"/>
                <w:b w:val="false"/>
                <w:i w:val="false"/>
                <w:color w:val="000000"/>
                <w:sz w:val="20"/>
              </w:rPr>
              <w:t>№ 85-НҚ</w:t>
            </w:r>
          </w:p>
        </w:tc>
      </w:tr>
    </w:tbl>
    <w:bookmarkStart w:name="z25" w:id="15"/>
    <w:p>
      <w:pPr>
        <w:spacing w:after="0"/>
        <w:ind w:left="0"/>
        <w:jc w:val="left"/>
      </w:pPr>
      <w:r>
        <w:rPr>
          <w:rFonts w:ascii="Times New Roman"/>
          <w:b/>
          <w:i w:val="false"/>
          <w:color w:val="000000"/>
        </w:rPr>
        <w:t xml:space="preserve"> Критерии оценки степени риска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w:t>
      </w:r>
    </w:p>
    <w:bookmarkEnd w:id="15"/>
    <w:p>
      <w:pPr>
        <w:spacing w:after="0"/>
        <w:ind w:left="0"/>
        <w:jc w:val="both"/>
      </w:pPr>
      <w:r>
        <w:rPr>
          <w:rFonts w:ascii="Times New Roman"/>
          <w:b w:val="false"/>
          <w:i w:val="false"/>
          <w:color w:val="ff0000"/>
          <w:sz w:val="28"/>
        </w:rPr>
        <w:t xml:space="preserve">
      Сноска. Заголовок – в редакции совместного приказа и.о. Министра водных ресурсов и ирригации РК от 03.07.2025 </w:t>
      </w:r>
      <w:r>
        <w:rPr>
          <w:rFonts w:ascii="Times New Roman"/>
          <w:b w:val="false"/>
          <w:i w:val="false"/>
          <w:color w:val="ff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p>
    <w:bookmarkStart w:name="z26" w:id="16"/>
    <w:p>
      <w:pPr>
        <w:spacing w:after="0"/>
        <w:ind w:left="0"/>
        <w:jc w:val="left"/>
      </w:pPr>
      <w:r>
        <w:rPr>
          <w:rFonts w:ascii="Times New Roman"/>
          <w:b/>
          <w:i w:val="false"/>
          <w:color w:val="000000"/>
        </w:rPr>
        <w:t xml:space="preserve"> Глава 1. Общие положения</w:t>
      </w:r>
    </w:p>
    <w:bookmarkEnd w:id="16"/>
    <w:bookmarkStart w:name="z27" w:id="17"/>
    <w:p>
      <w:pPr>
        <w:spacing w:after="0"/>
        <w:ind w:left="0"/>
        <w:jc w:val="both"/>
      </w:pPr>
      <w:r>
        <w:rPr>
          <w:rFonts w:ascii="Times New Roman"/>
          <w:b w:val="false"/>
          <w:i w:val="false"/>
          <w:color w:val="000000"/>
          <w:sz w:val="28"/>
        </w:rPr>
        <w:t xml:space="preserve">
      1. Настоящие Критерии оценки степени риска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 (далее – Критерии) разработаны в соответствии с пунктами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Предпринимательского кодекса Республики Казахстан (далее – Кодекс), Правилами формирования регулирующими государственными органами системы оценки и управления рисками,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за № 28577) и формой проверочного листа,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31 июля 2018 года № 3 (зарегистрирован в Реестре государственной регистрации нормативных правовых актов за № 17371).</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совместного приказа и.о. Министра водных ресурсов и ирригации РК от 03.07.2025 </w:t>
      </w:r>
      <w:r>
        <w:rPr>
          <w:rFonts w:ascii="Times New Roman"/>
          <w:b w:val="false"/>
          <w:i w:val="false"/>
          <w:color w:val="00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2. В данных Критериях использованы следующие понятия:</w:t>
      </w:r>
    </w:p>
    <w:bookmarkEnd w:id="18"/>
    <w:bookmarkStart w:name="z29" w:id="19"/>
    <w:p>
      <w:pPr>
        <w:spacing w:after="0"/>
        <w:ind w:left="0"/>
        <w:jc w:val="both"/>
      </w:pPr>
      <w:r>
        <w:rPr>
          <w:rFonts w:ascii="Times New Roman"/>
          <w:b w:val="false"/>
          <w:i w:val="false"/>
          <w:color w:val="000000"/>
          <w:sz w:val="28"/>
        </w:rPr>
        <w:t>
      1) субъекты контроля (объекты) – субъекты естественной монополии, предоставляющие регулируемые услуги подачи воды по каналам, подачи воды для орошения и регулирования поверхностного стока при помощи подпорных гидротехнических сооружений;</w:t>
      </w:r>
    </w:p>
    <w:bookmarkEnd w:id="19"/>
    <w:bookmarkStart w:name="z30" w:id="20"/>
    <w:p>
      <w:pPr>
        <w:spacing w:after="0"/>
        <w:ind w:left="0"/>
        <w:jc w:val="both"/>
      </w:pPr>
      <w:r>
        <w:rPr>
          <w:rFonts w:ascii="Times New Roman"/>
          <w:b w:val="false"/>
          <w:i w:val="false"/>
          <w:color w:val="000000"/>
          <w:sz w:val="28"/>
        </w:rPr>
        <w:t>
      2) балл – количественная мера исчисления риска;</w:t>
      </w:r>
    </w:p>
    <w:bookmarkEnd w:id="20"/>
    <w:bookmarkStart w:name="z31" w:id="21"/>
    <w:p>
      <w:pPr>
        <w:spacing w:after="0"/>
        <w:ind w:left="0"/>
        <w:jc w:val="both"/>
      </w:pPr>
      <w:r>
        <w:rPr>
          <w:rFonts w:ascii="Times New Roman"/>
          <w:b w:val="false"/>
          <w:i w:val="false"/>
          <w:color w:val="000000"/>
          <w:sz w:val="28"/>
        </w:rPr>
        <w:t>
      3) нормализация данных – статистическая процедура, предусматривающая приведение значений, измеренных в различных шкалах, к условно общей шкале;</w:t>
      </w:r>
    </w:p>
    <w:bookmarkEnd w:id="21"/>
    <w:bookmarkStart w:name="z32" w:id="22"/>
    <w:p>
      <w:pPr>
        <w:spacing w:after="0"/>
        <w:ind w:left="0"/>
        <w:jc w:val="both"/>
      </w:pPr>
      <w:r>
        <w:rPr>
          <w:rFonts w:ascii="Times New Roman"/>
          <w:b w:val="false"/>
          <w:i w:val="false"/>
          <w:color w:val="000000"/>
          <w:sz w:val="28"/>
        </w:rPr>
        <w:t>
      4) незначительные нарушения – нарушения требований законодательства Республики Казахстан в сфере естественных монополии, не относящиеся к значительным и грубым нарушениям;</w:t>
      </w:r>
    </w:p>
    <w:bookmarkEnd w:id="22"/>
    <w:bookmarkStart w:name="z33" w:id="23"/>
    <w:p>
      <w:pPr>
        <w:spacing w:after="0"/>
        <w:ind w:left="0"/>
        <w:jc w:val="both"/>
      </w:pPr>
      <w:r>
        <w:rPr>
          <w:rFonts w:ascii="Times New Roman"/>
          <w:b w:val="false"/>
          <w:i w:val="false"/>
          <w:color w:val="000000"/>
          <w:sz w:val="28"/>
        </w:rPr>
        <w:t xml:space="preserve">
      5) значительные нарушения – нарушения требований законодательства Республики Казахстан в сфере естественных монополии, создающие предпосылки для причинения вреда жизни, здоровью человека, окружающей среде и законным интересам физических и юридических лиц, государства; </w:t>
      </w:r>
    </w:p>
    <w:bookmarkEnd w:id="23"/>
    <w:bookmarkStart w:name="z34" w:id="24"/>
    <w:p>
      <w:pPr>
        <w:spacing w:after="0"/>
        <w:ind w:left="0"/>
        <w:jc w:val="both"/>
      </w:pPr>
      <w:r>
        <w:rPr>
          <w:rFonts w:ascii="Times New Roman"/>
          <w:b w:val="false"/>
          <w:i w:val="false"/>
          <w:color w:val="000000"/>
          <w:sz w:val="28"/>
        </w:rPr>
        <w:t>
      6) грубые нарушения – нарушения требований, установленных законодательством Республики Казахстан в сфере естественных монополии, которые могут привести к существенным нарушениям прав, свобод и законных интересов физических и юридических лиц;</w:t>
      </w:r>
    </w:p>
    <w:bookmarkEnd w:id="24"/>
    <w:bookmarkStart w:name="z35" w:id="25"/>
    <w:p>
      <w:pPr>
        <w:spacing w:after="0"/>
        <w:ind w:left="0"/>
        <w:jc w:val="both"/>
      </w:pPr>
      <w:r>
        <w:rPr>
          <w:rFonts w:ascii="Times New Roman"/>
          <w:b w:val="false"/>
          <w:i w:val="false"/>
          <w:color w:val="000000"/>
          <w:sz w:val="28"/>
        </w:rPr>
        <w:t>
      7) риск – вероятность причинения вреда в результате деятельности субъекта контроля жизни или здоровью человека, окружающей среде, законным интересам физических и юридических лиц, имущественным интересам государства с учетом степени тяжести его последствий;</w:t>
      </w:r>
    </w:p>
    <w:bookmarkEnd w:id="25"/>
    <w:bookmarkStart w:name="z36" w:id="26"/>
    <w:p>
      <w:pPr>
        <w:spacing w:after="0"/>
        <w:ind w:left="0"/>
        <w:jc w:val="both"/>
      </w:pPr>
      <w:r>
        <w:rPr>
          <w:rFonts w:ascii="Times New Roman"/>
          <w:b w:val="false"/>
          <w:i w:val="false"/>
          <w:color w:val="000000"/>
          <w:sz w:val="28"/>
        </w:rPr>
        <w:t>
      8)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особенностями отраслевого развития и факторами, влияющими на это развитие, позволяющих отнести субъекты (объекты) контроля к различным степеням риска;</w:t>
      </w:r>
    </w:p>
    <w:bookmarkEnd w:id="26"/>
    <w:bookmarkStart w:name="z37" w:id="27"/>
    <w:p>
      <w:pPr>
        <w:spacing w:after="0"/>
        <w:ind w:left="0"/>
        <w:jc w:val="both"/>
      </w:pPr>
      <w:r>
        <w:rPr>
          <w:rFonts w:ascii="Times New Roman"/>
          <w:b w:val="false"/>
          <w:i w:val="false"/>
          <w:color w:val="000000"/>
          <w:sz w:val="28"/>
        </w:rPr>
        <w:t>
      9) субъективные критерии оценки степени риска (далее – субъективные критерии) – критерии оценки степени риска, используемые для отбора проверяемых субъектов (объектов) контроля в зависимости от результатов деятельности конкретного проверяемого субъекта (объекта) контроля;</w:t>
      </w:r>
    </w:p>
    <w:bookmarkEnd w:id="27"/>
    <w:bookmarkStart w:name="z38" w:id="28"/>
    <w:p>
      <w:pPr>
        <w:spacing w:after="0"/>
        <w:ind w:left="0"/>
        <w:jc w:val="both"/>
      </w:pPr>
      <w:r>
        <w:rPr>
          <w:rFonts w:ascii="Times New Roman"/>
          <w:b w:val="false"/>
          <w:i w:val="false"/>
          <w:color w:val="000000"/>
          <w:sz w:val="28"/>
        </w:rPr>
        <w:t>
      10)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определенной сфере деятельности и не зависящие непосредственно от отдельного субъекта (объекта) контроля;</w:t>
      </w:r>
    </w:p>
    <w:bookmarkEnd w:id="28"/>
    <w:bookmarkStart w:name="z39" w:id="29"/>
    <w:p>
      <w:pPr>
        <w:spacing w:after="0"/>
        <w:ind w:left="0"/>
        <w:jc w:val="both"/>
      </w:pPr>
      <w:r>
        <w:rPr>
          <w:rFonts w:ascii="Times New Roman"/>
          <w:b w:val="false"/>
          <w:i w:val="false"/>
          <w:color w:val="000000"/>
          <w:sz w:val="28"/>
        </w:rPr>
        <w:t>
      11)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w:t>
      </w:r>
    </w:p>
    <w:bookmarkEnd w:id="29"/>
    <w:bookmarkStart w:name="z40" w:id="30"/>
    <w:p>
      <w:pPr>
        <w:spacing w:after="0"/>
        <w:ind w:left="0"/>
        <w:jc w:val="both"/>
      </w:pPr>
      <w:r>
        <w:rPr>
          <w:rFonts w:ascii="Times New Roman"/>
          <w:b w:val="false"/>
          <w:i w:val="false"/>
          <w:color w:val="000000"/>
          <w:sz w:val="28"/>
        </w:rPr>
        <w:t>
      12) проверочный лист – перечень требований, предъявляемых к деятельности субъектов (объектов) контроля,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совместным приказом и.о. Министра водных ресурсов и ирригации РК от 03.07.2025 </w:t>
      </w:r>
      <w:r>
        <w:rPr>
          <w:rFonts w:ascii="Times New Roman"/>
          <w:b w:val="false"/>
          <w:i w:val="false"/>
          <w:color w:val="00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1"/>
    <w:p>
      <w:pPr>
        <w:spacing w:after="0"/>
        <w:ind w:left="0"/>
        <w:jc w:val="both"/>
      </w:pPr>
      <w:r>
        <w:rPr>
          <w:rFonts w:ascii="Times New Roman"/>
          <w:b w:val="false"/>
          <w:i w:val="false"/>
          <w:color w:val="000000"/>
          <w:sz w:val="28"/>
        </w:rPr>
        <w:t>
      3. Для сфер деятельности субъектов (объектов) контроля, отнесенных к высокой и средней степени риска, проводятся профилактический контроль с посещением субъекта (объекта) контроля, профилактический контроль без посещения субъекта (объекта) контроля и внеплановая проверка.</w:t>
      </w:r>
    </w:p>
    <w:bookmarkEnd w:id="31"/>
    <w:bookmarkStart w:name="z42" w:id="32"/>
    <w:p>
      <w:pPr>
        <w:spacing w:after="0"/>
        <w:ind w:left="0"/>
        <w:jc w:val="both"/>
      </w:pPr>
      <w:r>
        <w:rPr>
          <w:rFonts w:ascii="Times New Roman"/>
          <w:b w:val="false"/>
          <w:i w:val="false"/>
          <w:color w:val="000000"/>
          <w:sz w:val="28"/>
        </w:rPr>
        <w:t>
      Для сфер деятельности субъектов (объектов) контроля, отнесенных к низкой степени риска, проводятся профилактический контроль без посещения субъекта (объекта) контроля и внеплановая проверка.</w:t>
      </w:r>
    </w:p>
    <w:bookmarkEnd w:id="32"/>
    <w:bookmarkStart w:name="z43" w:id="33"/>
    <w:p>
      <w:pPr>
        <w:spacing w:after="0"/>
        <w:ind w:left="0"/>
        <w:jc w:val="both"/>
      </w:pPr>
      <w:r>
        <w:rPr>
          <w:rFonts w:ascii="Times New Roman"/>
          <w:b w:val="false"/>
          <w:i w:val="false"/>
          <w:color w:val="000000"/>
          <w:sz w:val="28"/>
        </w:rPr>
        <w:t>
      4. Критерии оценки степени риска для проведения профилактического контроля субъектов (объектов) контроля формируются посредством определения объективных и субъективных критериев.</w:t>
      </w:r>
    </w:p>
    <w:bookmarkEnd w:id="33"/>
    <w:bookmarkStart w:name="z44" w:id="34"/>
    <w:p>
      <w:pPr>
        <w:spacing w:after="0"/>
        <w:ind w:left="0"/>
        <w:jc w:val="left"/>
      </w:pPr>
      <w:r>
        <w:rPr>
          <w:rFonts w:ascii="Times New Roman"/>
          <w:b/>
          <w:i w:val="false"/>
          <w:color w:val="000000"/>
        </w:rPr>
        <w:t xml:space="preserve"> Глава 2. Объективные критерии</w:t>
      </w:r>
    </w:p>
    <w:bookmarkEnd w:id="34"/>
    <w:bookmarkStart w:name="z45" w:id="35"/>
    <w:p>
      <w:pPr>
        <w:spacing w:after="0"/>
        <w:ind w:left="0"/>
        <w:jc w:val="both"/>
      </w:pPr>
      <w:r>
        <w:rPr>
          <w:rFonts w:ascii="Times New Roman"/>
          <w:b w:val="false"/>
          <w:i w:val="false"/>
          <w:color w:val="000000"/>
          <w:sz w:val="28"/>
        </w:rPr>
        <w:t>
      5. Для целей управления рисками при осуществлении профилактического контроля с посещением субъекта (объекта) контроля, критерии оценки степени риска для проведения профилактического контроля субъектов (объектов) контроля формируются посредством определения объективных и субъективных критериев, которые осуществляются поэтапно (Мультикритериальный анализ решений).</w:t>
      </w:r>
    </w:p>
    <w:bookmarkEnd w:id="35"/>
    <w:bookmarkStart w:name="z46" w:id="36"/>
    <w:p>
      <w:pPr>
        <w:spacing w:after="0"/>
        <w:ind w:left="0"/>
        <w:jc w:val="both"/>
      </w:pPr>
      <w:r>
        <w:rPr>
          <w:rFonts w:ascii="Times New Roman"/>
          <w:b w:val="false"/>
          <w:i w:val="false"/>
          <w:color w:val="000000"/>
          <w:sz w:val="28"/>
        </w:rPr>
        <w:t>
      На первом этапе государственный орган по объективным критериям относят субъекты (объекты) контроля к одной из следующих степеней риска (далее – степени риска):</w:t>
      </w:r>
    </w:p>
    <w:bookmarkEnd w:id="36"/>
    <w:bookmarkStart w:name="z47" w:id="37"/>
    <w:p>
      <w:pPr>
        <w:spacing w:after="0"/>
        <w:ind w:left="0"/>
        <w:jc w:val="both"/>
      </w:pPr>
      <w:r>
        <w:rPr>
          <w:rFonts w:ascii="Times New Roman"/>
          <w:b w:val="false"/>
          <w:i w:val="false"/>
          <w:color w:val="000000"/>
          <w:sz w:val="28"/>
        </w:rPr>
        <w:t>
      1) высокий риск;</w:t>
      </w:r>
    </w:p>
    <w:bookmarkEnd w:id="37"/>
    <w:bookmarkStart w:name="z48" w:id="38"/>
    <w:p>
      <w:pPr>
        <w:spacing w:after="0"/>
        <w:ind w:left="0"/>
        <w:jc w:val="both"/>
      </w:pPr>
      <w:r>
        <w:rPr>
          <w:rFonts w:ascii="Times New Roman"/>
          <w:b w:val="false"/>
          <w:i w:val="false"/>
          <w:color w:val="000000"/>
          <w:sz w:val="28"/>
        </w:rPr>
        <w:t>
      2) средний риск;</w:t>
      </w:r>
    </w:p>
    <w:bookmarkEnd w:id="38"/>
    <w:bookmarkStart w:name="z49" w:id="39"/>
    <w:p>
      <w:pPr>
        <w:spacing w:after="0"/>
        <w:ind w:left="0"/>
        <w:jc w:val="both"/>
      </w:pPr>
      <w:r>
        <w:rPr>
          <w:rFonts w:ascii="Times New Roman"/>
          <w:b w:val="false"/>
          <w:i w:val="false"/>
          <w:color w:val="000000"/>
          <w:sz w:val="28"/>
        </w:rPr>
        <w:t>
      3) низкий риск.</w:t>
      </w:r>
    </w:p>
    <w:bookmarkEnd w:id="39"/>
    <w:bookmarkStart w:name="z50" w:id="40"/>
    <w:p>
      <w:pPr>
        <w:spacing w:after="0"/>
        <w:ind w:left="0"/>
        <w:jc w:val="both"/>
      </w:pPr>
      <w:r>
        <w:rPr>
          <w:rFonts w:ascii="Times New Roman"/>
          <w:b w:val="false"/>
          <w:i w:val="false"/>
          <w:color w:val="000000"/>
          <w:sz w:val="28"/>
        </w:rPr>
        <w:t>
      Для сфер деятельности субъектов (объектов) контроля, отнесенных к высокой и средней степени риска по объективным критериям, проводятся профилактический контроль с посещением субъекта (объекта) контроля, профилактический контроль без посещения субъекта (объекта) контроля и внеплановая проверка.</w:t>
      </w:r>
    </w:p>
    <w:bookmarkEnd w:id="40"/>
    <w:bookmarkStart w:name="z51" w:id="41"/>
    <w:p>
      <w:pPr>
        <w:spacing w:after="0"/>
        <w:ind w:left="0"/>
        <w:jc w:val="both"/>
      </w:pPr>
      <w:r>
        <w:rPr>
          <w:rFonts w:ascii="Times New Roman"/>
          <w:b w:val="false"/>
          <w:i w:val="false"/>
          <w:color w:val="000000"/>
          <w:sz w:val="28"/>
        </w:rPr>
        <w:t>
      Для сфер деятельности субъектов (объектов) контроля, отнесенных к низкой степени риска по объективным критериям, проводятся профилактический контроль без посещения субъекта (объекта) контроля и внеплановая проверка.</w:t>
      </w:r>
    </w:p>
    <w:bookmarkEnd w:id="41"/>
    <w:bookmarkStart w:name="z52" w:id="42"/>
    <w:p>
      <w:pPr>
        <w:spacing w:after="0"/>
        <w:ind w:left="0"/>
        <w:jc w:val="both"/>
      </w:pPr>
      <w:r>
        <w:rPr>
          <w:rFonts w:ascii="Times New Roman"/>
          <w:b w:val="false"/>
          <w:i w:val="false"/>
          <w:color w:val="000000"/>
          <w:sz w:val="28"/>
        </w:rPr>
        <w:t xml:space="preserve">
      На втором этапе государственный орган по субъективным критериям относят субъекты (объекты) контроля к одной из следующих степеней риска: </w:t>
      </w:r>
    </w:p>
    <w:bookmarkEnd w:id="42"/>
    <w:bookmarkStart w:name="z53" w:id="43"/>
    <w:p>
      <w:pPr>
        <w:spacing w:after="0"/>
        <w:ind w:left="0"/>
        <w:jc w:val="both"/>
      </w:pPr>
      <w:r>
        <w:rPr>
          <w:rFonts w:ascii="Times New Roman"/>
          <w:b w:val="false"/>
          <w:i w:val="false"/>
          <w:color w:val="000000"/>
          <w:sz w:val="28"/>
        </w:rPr>
        <w:t>
      1) высокий риск;</w:t>
      </w:r>
    </w:p>
    <w:bookmarkEnd w:id="43"/>
    <w:bookmarkStart w:name="z54" w:id="44"/>
    <w:p>
      <w:pPr>
        <w:spacing w:after="0"/>
        <w:ind w:left="0"/>
        <w:jc w:val="both"/>
      </w:pPr>
      <w:r>
        <w:rPr>
          <w:rFonts w:ascii="Times New Roman"/>
          <w:b w:val="false"/>
          <w:i w:val="false"/>
          <w:color w:val="000000"/>
          <w:sz w:val="28"/>
        </w:rPr>
        <w:t>
      2) средний риск;</w:t>
      </w:r>
    </w:p>
    <w:bookmarkEnd w:id="44"/>
    <w:bookmarkStart w:name="z55" w:id="45"/>
    <w:p>
      <w:pPr>
        <w:spacing w:after="0"/>
        <w:ind w:left="0"/>
        <w:jc w:val="both"/>
      </w:pPr>
      <w:r>
        <w:rPr>
          <w:rFonts w:ascii="Times New Roman"/>
          <w:b w:val="false"/>
          <w:i w:val="false"/>
          <w:color w:val="000000"/>
          <w:sz w:val="28"/>
        </w:rPr>
        <w:t>
      3) низкий риск.</w:t>
      </w:r>
    </w:p>
    <w:bookmarkEnd w:id="45"/>
    <w:bookmarkStart w:name="z56" w:id="46"/>
    <w:p>
      <w:pPr>
        <w:spacing w:after="0"/>
        <w:ind w:left="0"/>
        <w:jc w:val="both"/>
      </w:pPr>
      <w:r>
        <w:rPr>
          <w:rFonts w:ascii="Times New Roman"/>
          <w:b w:val="false"/>
          <w:i w:val="false"/>
          <w:color w:val="000000"/>
          <w:sz w:val="28"/>
        </w:rPr>
        <w:t>
      По показателям степени риска по субъективным критериям субъект (объект) контроля относится:</w:t>
      </w:r>
    </w:p>
    <w:bookmarkEnd w:id="46"/>
    <w:bookmarkStart w:name="z57" w:id="47"/>
    <w:p>
      <w:pPr>
        <w:spacing w:after="0"/>
        <w:ind w:left="0"/>
        <w:jc w:val="both"/>
      </w:pPr>
      <w:r>
        <w:rPr>
          <w:rFonts w:ascii="Times New Roman"/>
          <w:b w:val="false"/>
          <w:i w:val="false"/>
          <w:color w:val="000000"/>
          <w:sz w:val="28"/>
        </w:rPr>
        <w:t>
      1) к высокой степени риска – при показателе степени риска от 71 до 100 включительно;</w:t>
      </w:r>
    </w:p>
    <w:bookmarkEnd w:id="47"/>
    <w:bookmarkStart w:name="z58" w:id="48"/>
    <w:p>
      <w:pPr>
        <w:spacing w:after="0"/>
        <w:ind w:left="0"/>
        <w:jc w:val="both"/>
      </w:pPr>
      <w:r>
        <w:rPr>
          <w:rFonts w:ascii="Times New Roman"/>
          <w:b w:val="false"/>
          <w:i w:val="false"/>
          <w:color w:val="000000"/>
          <w:sz w:val="28"/>
        </w:rPr>
        <w:t>
      2) к средней степени риска – при показателе степени риска от 31 до 70 включительно;</w:t>
      </w:r>
    </w:p>
    <w:bookmarkEnd w:id="48"/>
    <w:bookmarkStart w:name="z59" w:id="49"/>
    <w:p>
      <w:pPr>
        <w:spacing w:after="0"/>
        <w:ind w:left="0"/>
        <w:jc w:val="both"/>
      </w:pPr>
      <w:r>
        <w:rPr>
          <w:rFonts w:ascii="Times New Roman"/>
          <w:b w:val="false"/>
          <w:i w:val="false"/>
          <w:color w:val="000000"/>
          <w:sz w:val="28"/>
        </w:rPr>
        <w:t xml:space="preserve">
      3) к низкой степени риска – при показателе степени риска от 0 до 30 включительно. </w:t>
      </w:r>
    </w:p>
    <w:bookmarkEnd w:id="49"/>
    <w:bookmarkStart w:name="z60" w:id="50"/>
    <w:p>
      <w:pPr>
        <w:spacing w:after="0"/>
        <w:ind w:left="0"/>
        <w:jc w:val="both"/>
      </w:pPr>
      <w:r>
        <w:rPr>
          <w:rFonts w:ascii="Times New Roman"/>
          <w:b w:val="false"/>
          <w:i w:val="false"/>
          <w:color w:val="000000"/>
          <w:sz w:val="28"/>
        </w:rPr>
        <w:t>
      6. В сферах естественных монополий к высокой степени риска относятся субъекты естественных монополий по услугам подачи воды по каналам, подачи воды для орошения и регулирования поверхностного стока при помощи подпорных гидротехнических сооружений, включенные в Государственный регистр субъектов естественных монополий, осуществляющие регулируемые услуги отнесенные к сфере естественных монополий более одного календарного года и получившие необоснованный доход (выручку).</w:t>
      </w:r>
    </w:p>
    <w:bookmarkEnd w:id="50"/>
    <w:bookmarkStart w:name="z454" w:id="51"/>
    <w:p>
      <w:pPr>
        <w:spacing w:after="0"/>
        <w:ind w:left="0"/>
        <w:jc w:val="both"/>
      </w:pPr>
      <w:r>
        <w:rPr>
          <w:rFonts w:ascii="Times New Roman"/>
          <w:b w:val="false"/>
          <w:i w:val="false"/>
          <w:color w:val="000000"/>
          <w:sz w:val="28"/>
        </w:rPr>
        <w:t>
      В сферах естественных монополий к средней степени риска относятся субъекты естественных монополий по услугам подачи воды по каналам, подачи воды для орошения и регулирования поверхностного стока при помощи подпорных гидротехнических сооружений, включенные в Государственный регистр субъектов естественных монополий, осуществляющие регулируемые услуги отнесенные к сфере естественных монополий более одного календарного года.</w:t>
      </w:r>
    </w:p>
    <w:bookmarkEnd w:id="51"/>
    <w:bookmarkStart w:name="z455" w:id="52"/>
    <w:p>
      <w:pPr>
        <w:spacing w:after="0"/>
        <w:ind w:left="0"/>
        <w:jc w:val="both"/>
      </w:pPr>
      <w:r>
        <w:rPr>
          <w:rFonts w:ascii="Times New Roman"/>
          <w:b w:val="false"/>
          <w:i w:val="false"/>
          <w:color w:val="000000"/>
          <w:sz w:val="28"/>
        </w:rPr>
        <w:t>
      В сфере естественных монополий к низкой степени риска относятся вновь созданные субъекты естественных монополий по услугам подачи воды по каналам, подачи воды для орошения и регулирования поверхностного стока при помощи подпорных гидротехнических сооружений, оказывающие регулируемые услуги отнесенные к сфере естественных монополий менее одного календарного года.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совместного приказа и.о. Министра водных ресурсов и ирригации РК от 03.07.2025 </w:t>
      </w:r>
      <w:r>
        <w:rPr>
          <w:rFonts w:ascii="Times New Roman"/>
          <w:b w:val="false"/>
          <w:i w:val="false"/>
          <w:color w:val="00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53"/>
    <w:p>
      <w:pPr>
        <w:spacing w:after="0"/>
        <w:ind w:left="0"/>
        <w:jc w:val="left"/>
      </w:pPr>
      <w:r>
        <w:rPr>
          <w:rFonts w:ascii="Times New Roman"/>
          <w:b/>
          <w:i w:val="false"/>
          <w:color w:val="000000"/>
        </w:rPr>
        <w:t xml:space="preserve"> Глава 3. Субъективные критерии</w:t>
      </w:r>
    </w:p>
    <w:bookmarkEnd w:id="53"/>
    <w:bookmarkStart w:name="z64" w:id="54"/>
    <w:p>
      <w:pPr>
        <w:spacing w:after="0"/>
        <w:ind w:left="0"/>
        <w:jc w:val="both"/>
      </w:pPr>
      <w:r>
        <w:rPr>
          <w:rFonts w:ascii="Times New Roman"/>
          <w:b w:val="false"/>
          <w:i w:val="false"/>
          <w:color w:val="000000"/>
          <w:sz w:val="28"/>
        </w:rPr>
        <w:t>
      7. Для определения субъективных критериев оценки степени рисков используются следующие источники информации:</w:t>
      </w:r>
    </w:p>
    <w:bookmarkEnd w:id="54"/>
    <w:bookmarkStart w:name="z65" w:id="55"/>
    <w:p>
      <w:pPr>
        <w:spacing w:after="0"/>
        <w:ind w:left="0"/>
        <w:jc w:val="both"/>
      </w:pPr>
      <w:r>
        <w:rPr>
          <w:rFonts w:ascii="Times New Roman"/>
          <w:b w:val="false"/>
          <w:i w:val="false"/>
          <w:color w:val="000000"/>
          <w:sz w:val="28"/>
        </w:rPr>
        <w:t>
      1) результаты предыдущих проверок и профилактического контроля с посещением субъектов (объектов) контроля. При этом, степень тяжести (грубое, значительное, незначительное) устанавливается в случае несоблюдения требований законодательства, отраженных в проверочных листах;</w:t>
      </w:r>
    </w:p>
    <w:bookmarkEnd w:id="55"/>
    <w:bookmarkStart w:name="z66" w:id="56"/>
    <w:p>
      <w:pPr>
        <w:spacing w:after="0"/>
        <w:ind w:left="0"/>
        <w:jc w:val="both"/>
      </w:pPr>
      <w:r>
        <w:rPr>
          <w:rFonts w:ascii="Times New Roman"/>
          <w:b w:val="false"/>
          <w:i w:val="false"/>
          <w:color w:val="000000"/>
          <w:sz w:val="28"/>
        </w:rPr>
        <w:t>
      2) результаты мониторинга отчетности и сведений, представляемых субъектом (объектом) контроля, проводимого уполномоченным органом и (или) другими государственными органами;</w:t>
      </w:r>
    </w:p>
    <w:bookmarkEnd w:id="56"/>
    <w:bookmarkStart w:name="z67" w:id="57"/>
    <w:p>
      <w:pPr>
        <w:spacing w:after="0"/>
        <w:ind w:left="0"/>
        <w:jc w:val="both"/>
      </w:pPr>
      <w:r>
        <w:rPr>
          <w:rFonts w:ascii="Times New Roman"/>
          <w:b w:val="false"/>
          <w:i w:val="false"/>
          <w:color w:val="000000"/>
          <w:sz w:val="28"/>
        </w:rPr>
        <w:t>
      3) результаты анализа официальных интернет-ресурсов государственных органов и средств массовой информации;</w:t>
      </w:r>
    </w:p>
    <w:bookmarkEnd w:id="57"/>
    <w:bookmarkStart w:name="z68" w:id="58"/>
    <w:p>
      <w:pPr>
        <w:spacing w:after="0"/>
        <w:ind w:left="0"/>
        <w:jc w:val="both"/>
      </w:pPr>
      <w:r>
        <w:rPr>
          <w:rFonts w:ascii="Times New Roman"/>
          <w:b w:val="false"/>
          <w:i w:val="false"/>
          <w:color w:val="000000"/>
          <w:sz w:val="28"/>
        </w:rPr>
        <w:t>
      4) результаты профилактического контроля без посещения субъекта (объекта) контроля (итоговые документы, выданные по итогам профилактического контроля без посещения субъекта (объекта) контроля.</w:t>
      </w:r>
    </w:p>
    <w:bookmarkEnd w:id="58"/>
    <w:bookmarkStart w:name="z69" w:id="59"/>
    <w:p>
      <w:pPr>
        <w:spacing w:after="0"/>
        <w:ind w:left="0"/>
        <w:jc w:val="both"/>
      </w:pPr>
      <w:r>
        <w:rPr>
          <w:rFonts w:ascii="Times New Roman"/>
          <w:b w:val="false"/>
          <w:i w:val="false"/>
          <w:color w:val="000000"/>
          <w:sz w:val="28"/>
        </w:rPr>
        <w:t>
      8. Определение субъективных критериев осуществляется с применением следующих этапов:</w:t>
      </w:r>
    </w:p>
    <w:bookmarkEnd w:id="59"/>
    <w:bookmarkStart w:name="z70" w:id="60"/>
    <w:p>
      <w:pPr>
        <w:spacing w:after="0"/>
        <w:ind w:left="0"/>
        <w:jc w:val="both"/>
      </w:pPr>
      <w:r>
        <w:rPr>
          <w:rFonts w:ascii="Times New Roman"/>
          <w:b w:val="false"/>
          <w:i w:val="false"/>
          <w:color w:val="000000"/>
          <w:sz w:val="28"/>
        </w:rPr>
        <w:t>
      1) формирование базы данных и сбор информации;</w:t>
      </w:r>
    </w:p>
    <w:bookmarkEnd w:id="60"/>
    <w:bookmarkStart w:name="z71" w:id="61"/>
    <w:p>
      <w:pPr>
        <w:spacing w:after="0"/>
        <w:ind w:left="0"/>
        <w:jc w:val="both"/>
      </w:pPr>
      <w:r>
        <w:rPr>
          <w:rFonts w:ascii="Times New Roman"/>
          <w:b w:val="false"/>
          <w:i w:val="false"/>
          <w:color w:val="000000"/>
          <w:sz w:val="28"/>
        </w:rPr>
        <w:t>
      2) анализ информации и оценка рисков.</w:t>
      </w:r>
    </w:p>
    <w:bookmarkEnd w:id="61"/>
    <w:bookmarkStart w:name="z72" w:id="62"/>
    <w:p>
      <w:pPr>
        <w:spacing w:after="0"/>
        <w:ind w:left="0"/>
        <w:jc w:val="both"/>
      </w:pPr>
      <w:r>
        <w:rPr>
          <w:rFonts w:ascii="Times New Roman"/>
          <w:b w:val="false"/>
          <w:i w:val="false"/>
          <w:color w:val="000000"/>
          <w:sz w:val="28"/>
        </w:rPr>
        <w:t>
      9. На основании имеющихся источников информации субъективные критерии подразделяются на три степени нарушения: грубые, значительные, незначительные.</w:t>
      </w:r>
    </w:p>
    <w:bookmarkEnd w:id="62"/>
    <w:bookmarkStart w:name="z73" w:id="63"/>
    <w:p>
      <w:pPr>
        <w:spacing w:after="0"/>
        <w:ind w:left="0"/>
        <w:jc w:val="both"/>
      </w:pPr>
      <w:r>
        <w:rPr>
          <w:rFonts w:ascii="Times New Roman"/>
          <w:b w:val="false"/>
          <w:i w:val="false"/>
          <w:color w:val="000000"/>
          <w:sz w:val="28"/>
        </w:rPr>
        <w:t xml:space="preserve">
      Степени нарушений требований для субъектов естественных монополий определены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Критериям.</w:t>
      </w:r>
    </w:p>
    <w:bookmarkEnd w:id="63"/>
    <w:bookmarkStart w:name="z74" w:id="64"/>
    <w:p>
      <w:pPr>
        <w:spacing w:after="0"/>
        <w:ind w:left="0"/>
        <w:jc w:val="both"/>
      </w:pPr>
      <w:r>
        <w:rPr>
          <w:rFonts w:ascii="Times New Roman"/>
          <w:b w:val="false"/>
          <w:i w:val="false"/>
          <w:color w:val="000000"/>
          <w:sz w:val="28"/>
        </w:rPr>
        <w:t xml:space="preserve">
      Перечень субъективных критериев для определения степени риска по субъективным критериям предусмотрены в </w:t>
      </w:r>
      <w:r>
        <w:rPr>
          <w:rFonts w:ascii="Times New Roman"/>
          <w:b w:val="false"/>
          <w:i w:val="false"/>
          <w:color w:val="000000"/>
          <w:sz w:val="28"/>
        </w:rPr>
        <w:t>приложений 2</w:t>
      </w:r>
      <w:r>
        <w:rPr>
          <w:rFonts w:ascii="Times New Roman"/>
          <w:b w:val="false"/>
          <w:i w:val="false"/>
          <w:color w:val="000000"/>
          <w:sz w:val="28"/>
        </w:rPr>
        <w:t xml:space="preserve"> к настоящим Критериям.</w:t>
      </w:r>
    </w:p>
    <w:bookmarkEnd w:id="64"/>
    <w:bookmarkStart w:name="z75" w:id="65"/>
    <w:p>
      <w:pPr>
        <w:spacing w:after="0"/>
        <w:ind w:left="0"/>
        <w:jc w:val="both"/>
      </w:pPr>
      <w:r>
        <w:rPr>
          <w:rFonts w:ascii="Times New Roman"/>
          <w:b w:val="false"/>
          <w:i w:val="false"/>
          <w:color w:val="000000"/>
          <w:sz w:val="28"/>
        </w:rPr>
        <w:t>
      10. Для отнесения субъекта контроля к степени риска применяется следующий порядок расчета показателя степени риска.</w:t>
      </w:r>
    </w:p>
    <w:bookmarkEnd w:id="65"/>
    <w:bookmarkStart w:name="z76" w:id="66"/>
    <w:p>
      <w:pPr>
        <w:spacing w:after="0"/>
        <w:ind w:left="0"/>
        <w:jc w:val="both"/>
      </w:pPr>
      <w:r>
        <w:rPr>
          <w:rFonts w:ascii="Times New Roman"/>
          <w:b w:val="false"/>
          <w:i w:val="false"/>
          <w:color w:val="000000"/>
          <w:sz w:val="28"/>
        </w:rPr>
        <w:t>
      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(SC), с последующей нормализацией значений данных в диапазон от 0 до 100 баллов.</w:t>
      </w:r>
    </w:p>
    <w:bookmarkEnd w:id="66"/>
    <w:bookmarkStart w:name="z77" w:id="67"/>
    <w:p>
      <w:pPr>
        <w:spacing w:after="0"/>
        <w:ind w:left="0"/>
        <w:jc w:val="both"/>
      </w:pPr>
      <w:r>
        <w:rPr>
          <w:rFonts w:ascii="Times New Roman"/>
          <w:b w:val="false"/>
          <w:i w:val="false"/>
          <w:color w:val="000000"/>
          <w:sz w:val="28"/>
        </w:rPr>
        <w:t>
      Rпром = SP + SC, где:</w:t>
      </w:r>
    </w:p>
    <w:bookmarkEnd w:id="67"/>
    <w:bookmarkStart w:name="z78" w:id="68"/>
    <w:p>
      <w:pPr>
        <w:spacing w:after="0"/>
        <w:ind w:left="0"/>
        <w:jc w:val="both"/>
      </w:pPr>
      <w:r>
        <w:rPr>
          <w:rFonts w:ascii="Times New Roman"/>
          <w:b w:val="false"/>
          <w:i w:val="false"/>
          <w:color w:val="000000"/>
          <w:sz w:val="28"/>
        </w:rPr>
        <w:t>
      Rпром – промежуточный показатель степени риска по субъективным критериям;</w:t>
      </w:r>
    </w:p>
    <w:bookmarkEnd w:id="68"/>
    <w:bookmarkStart w:name="z79" w:id="69"/>
    <w:p>
      <w:pPr>
        <w:spacing w:after="0"/>
        <w:ind w:left="0"/>
        <w:jc w:val="both"/>
      </w:pPr>
      <w:r>
        <w:rPr>
          <w:rFonts w:ascii="Times New Roman"/>
          <w:b w:val="false"/>
          <w:i w:val="false"/>
          <w:color w:val="000000"/>
          <w:sz w:val="28"/>
        </w:rPr>
        <w:t>
      SР – показатель степени риска по нарушениям;</w:t>
      </w:r>
    </w:p>
    <w:bookmarkEnd w:id="69"/>
    <w:bookmarkStart w:name="z80" w:id="70"/>
    <w:p>
      <w:pPr>
        <w:spacing w:after="0"/>
        <w:ind w:left="0"/>
        <w:jc w:val="both"/>
      </w:pPr>
      <w:r>
        <w:rPr>
          <w:rFonts w:ascii="Times New Roman"/>
          <w:b w:val="false"/>
          <w:i w:val="false"/>
          <w:color w:val="000000"/>
          <w:sz w:val="28"/>
        </w:rPr>
        <w:t>
      SC – показатель степени риска по субъективным критериям, определенным в соответствии с пунктом 6 настоящих Критериев.</w:t>
      </w:r>
    </w:p>
    <w:bookmarkEnd w:id="70"/>
    <w:bookmarkStart w:name="z81" w:id="71"/>
    <w:p>
      <w:pPr>
        <w:spacing w:after="0"/>
        <w:ind w:left="0"/>
        <w:jc w:val="both"/>
      </w:pPr>
      <w:r>
        <w:rPr>
          <w:rFonts w:ascii="Times New Roman"/>
          <w:b w:val="false"/>
          <w:i w:val="false"/>
          <w:color w:val="000000"/>
          <w:sz w:val="28"/>
        </w:rPr>
        <w:t>
      Расчет производится по каждому субъекту (объекту) контроля. При этом перечень оцениваемых субъектов (объектов) контроля, образует выборочную совокупность (выборку) для последующей нормализации данных.</w:t>
      </w:r>
    </w:p>
    <w:bookmarkEnd w:id="71"/>
    <w:bookmarkStart w:name="z82" w:id="72"/>
    <w:p>
      <w:pPr>
        <w:spacing w:after="0"/>
        <w:ind w:left="0"/>
        <w:jc w:val="both"/>
      </w:pPr>
      <w:r>
        <w:rPr>
          <w:rFonts w:ascii="Times New Roman"/>
          <w:b w:val="false"/>
          <w:i w:val="false"/>
          <w:color w:val="000000"/>
          <w:sz w:val="28"/>
        </w:rPr>
        <w:t>
      11. По данным, полученным по результатам предыдущих проверок и профилактического контроля с посещением субъектов (объектов) контроля, формируется показатель степени риска по нарушениям, оцениваемый в баллах от 0 до 100.</w:t>
      </w:r>
    </w:p>
    <w:bookmarkEnd w:id="72"/>
    <w:bookmarkStart w:name="z83" w:id="73"/>
    <w:p>
      <w:pPr>
        <w:spacing w:after="0"/>
        <w:ind w:left="0"/>
        <w:jc w:val="both"/>
      </w:pPr>
      <w:r>
        <w:rPr>
          <w:rFonts w:ascii="Times New Roman"/>
          <w:b w:val="false"/>
          <w:i w:val="false"/>
          <w:color w:val="000000"/>
          <w:sz w:val="28"/>
        </w:rPr>
        <w:t>
      При выявлении одного грубого нарушения по любому из источников информации, указанных в пункте 7 настоящих Критериев, субъекту контроля приравнивается показатель степени риска 100 баллов и в отношении него проводится профилактический контроль с посещением субъекта (объекта) контроля.</w:t>
      </w:r>
    </w:p>
    <w:bookmarkEnd w:id="73"/>
    <w:bookmarkStart w:name="z84" w:id="74"/>
    <w:p>
      <w:pPr>
        <w:spacing w:after="0"/>
        <w:ind w:left="0"/>
        <w:jc w:val="both"/>
      </w:pPr>
      <w:r>
        <w:rPr>
          <w:rFonts w:ascii="Times New Roman"/>
          <w:b w:val="false"/>
          <w:i w:val="false"/>
          <w:color w:val="000000"/>
          <w:sz w:val="28"/>
        </w:rPr>
        <w:t>
      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bookmarkEnd w:id="74"/>
    <w:bookmarkStart w:name="z85" w:id="75"/>
    <w:p>
      <w:pPr>
        <w:spacing w:after="0"/>
        <w:ind w:left="0"/>
        <w:jc w:val="both"/>
      </w:pPr>
      <w:r>
        <w:rPr>
          <w:rFonts w:ascii="Times New Roman"/>
          <w:b w:val="false"/>
          <w:i w:val="false"/>
          <w:color w:val="000000"/>
          <w:sz w:val="28"/>
        </w:rPr>
        <w:t>
      При определении показателя значительных нарушений применяется коэффициент 0,7.</w:t>
      </w:r>
    </w:p>
    <w:bookmarkEnd w:id="75"/>
    <w:bookmarkStart w:name="z86" w:id="76"/>
    <w:p>
      <w:pPr>
        <w:spacing w:after="0"/>
        <w:ind w:left="0"/>
        <w:jc w:val="both"/>
      </w:pPr>
      <w:r>
        <w:rPr>
          <w:rFonts w:ascii="Times New Roman"/>
          <w:b w:val="false"/>
          <w:i w:val="false"/>
          <w:color w:val="000000"/>
          <w:sz w:val="28"/>
        </w:rPr>
        <w:t>
      Данный показатель рассчитывается по следующей формуле:</w:t>
      </w:r>
    </w:p>
    <w:bookmarkEnd w:id="76"/>
    <w:bookmarkStart w:name="z87" w:id="77"/>
    <w:p>
      <w:pPr>
        <w:spacing w:after="0"/>
        <w:ind w:left="0"/>
        <w:jc w:val="both"/>
      </w:pPr>
      <w:r>
        <w:rPr>
          <w:rFonts w:ascii="Times New Roman"/>
          <w:b w:val="false"/>
          <w:i w:val="false"/>
          <w:color w:val="000000"/>
          <w:sz w:val="28"/>
        </w:rPr>
        <w:t>
      SРз = (SР2 х 100/SР1) х 0,7, где:</w:t>
      </w:r>
    </w:p>
    <w:bookmarkEnd w:id="77"/>
    <w:bookmarkStart w:name="z88" w:id="78"/>
    <w:p>
      <w:pPr>
        <w:spacing w:after="0"/>
        <w:ind w:left="0"/>
        <w:jc w:val="both"/>
      </w:pPr>
      <w:r>
        <w:rPr>
          <w:rFonts w:ascii="Times New Roman"/>
          <w:b w:val="false"/>
          <w:i w:val="false"/>
          <w:color w:val="000000"/>
          <w:sz w:val="28"/>
        </w:rPr>
        <w:t>
      SРз – показатель значительных нарушений;</w:t>
      </w:r>
    </w:p>
    <w:bookmarkEnd w:id="78"/>
    <w:bookmarkStart w:name="z89" w:id="79"/>
    <w:p>
      <w:pPr>
        <w:spacing w:after="0"/>
        <w:ind w:left="0"/>
        <w:jc w:val="both"/>
      </w:pPr>
      <w:r>
        <w:rPr>
          <w:rFonts w:ascii="Times New Roman"/>
          <w:b w:val="false"/>
          <w:i w:val="false"/>
          <w:color w:val="000000"/>
          <w:sz w:val="28"/>
        </w:rPr>
        <w:t>
      SР1 – требуемое количество значительных нарушений;</w:t>
      </w:r>
    </w:p>
    <w:bookmarkEnd w:id="79"/>
    <w:bookmarkStart w:name="z90" w:id="80"/>
    <w:p>
      <w:pPr>
        <w:spacing w:after="0"/>
        <w:ind w:left="0"/>
        <w:jc w:val="both"/>
      </w:pPr>
      <w:r>
        <w:rPr>
          <w:rFonts w:ascii="Times New Roman"/>
          <w:b w:val="false"/>
          <w:i w:val="false"/>
          <w:color w:val="000000"/>
          <w:sz w:val="28"/>
        </w:rPr>
        <w:t>
      SР2 – количество выявленных значительных нарушений;</w:t>
      </w:r>
    </w:p>
    <w:bookmarkEnd w:id="80"/>
    <w:bookmarkStart w:name="z91" w:id="81"/>
    <w:p>
      <w:pPr>
        <w:spacing w:after="0"/>
        <w:ind w:left="0"/>
        <w:jc w:val="both"/>
      </w:pPr>
      <w:r>
        <w:rPr>
          <w:rFonts w:ascii="Times New Roman"/>
          <w:b w:val="false"/>
          <w:i w:val="false"/>
          <w:color w:val="000000"/>
          <w:sz w:val="28"/>
        </w:rPr>
        <w:t>
      При определении показателя незначительных нарушений применяется коэффициент 0,3.</w:t>
      </w:r>
    </w:p>
    <w:bookmarkEnd w:id="81"/>
    <w:bookmarkStart w:name="z92" w:id="82"/>
    <w:p>
      <w:pPr>
        <w:spacing w:after="0"/>
        <w:ind w:left="0"/>
        <w:jc w:val="both"/>
      </w:pPr>
      <w:r>
        <w:rPr>
          <w:rFonts w:ascii="Times New Roman"/>
          <w:b w:val="false"/>
          <w:i w:val="false"/>
          <w:color w:val="000000"/>
          <w:sz w:val="28"/>
        </w:rPr>
        <w:t>
      Данный показатель рассчитывается по следующей формуле:</w:t>
      </w:r>
    </w:p>
    <w:bookmarkEnd w:id="82"/>
    <w:bookmarkStart w:name="z93" w:id="83"/>
    <w:p>
      <w:pPr>
        <w:spacing w:after="0"/>
        <w:ind w:left="0"/>
        <w:jc w:val="both"/>
      </w:pPr>
      <w:r>
        <w:rPr>
          <w:rFonts w:ascii="Times New Roman"/>
          <w:b w:val="false"/>
          <w:i w:val="false"/>
          <w:color w:val="000000"/>
          <w:sz w:val="28"/>
        </w:rPr>
        <w:t>
      SРн = (SР2 х 100/SР1) х 0,3, где:</w:t>
      </w:r>
    </w:p>
    <w:bookmarkEnd w:id="83"/>
    <w:bookmarkStart w:name="z94" w:id="84"/>
    <w:p>
      <w:pPr>
        <w:spacing w:after="0"/>
        <w:ind w:left="0"/>
        <w:jc w:val="both"/>
      </w:pPr>
      <w:r>
        <w:rPr>
          <w:rFonts w:ascii="Times New Roman"/>
          <w:b w:val="false"/>
          <w:i w:val="false"/>
          <w:color w:val="000000"/>
          <w:sz w:val="28"/>
        </w:rPr>
        <w:t>
      SРн – показатель незначительных нарушений;</w:t>
      </w:r>
    </w:p>
    <w:bookmarkEnd w:id="84"/>
    <w:bookmarkStart w:name="z95" w:id="85"/>
    <w:p>
      <w:pPr>
        <w:spacing w:after="0"/>
        <w:ind w:left="0"/>
        <w:jc w:val="both"/>
      </w:pPr>
      <w:r>
        <w:rPr>
          <w:rFonts w:ascii="Times New Roman"/>
          <w:b w:val="false"/>
          <w:i w:val="false"/>
          <w:color w:val="000000"/>
          <w:sz w:val="28"/>
        </w:rPr>
        <w:t>
      SР1 – требуемое количество незначительных нарушений;</w:t>
      </w:r>
    </w:p>
    <w:bookmarkEnd w:id="85"/>
    <w:bookmarkStart w:name="z96" w:id="86"/>
    <w:p>
      <w:pPr>
        <w:spacing w:after="0"/>
        <w:ind w:left="0"/>
        <w:jc w:val="both"/>
      </w:pPr>
      <w:r>
        <w:rPr>
          <w:rFonts w:ascii="Times New Roman"/>
          <w:b w:val="false"/>
          <w:i w:val="false"/>
          <w:color w:val="000000"/>
          <w:sz w:val="28"/>
        </w:rPr>
        <w:t>
      SР2 – количество выявленных незначительных нарушений;</w:t>
      </w:r>
    </w:p>
    <w:bookmarkEnd w:id="86"/>
    <w:bookmarkStart w:name="z97" w:id="87"/>
    <w:p>
      <w:pPr>
        <w:spacing w:after="0"/>
        <w:ind w:left="0"/>
        <w:jc w:val="both"/>
      </w:pPr>
      <w:r>
        <w:rPr>
          <w:rFonts w:ascii="Times New Roman"/>
          <w:b w:val="false"/>
          <w:i w:val="false"/>
          <w:color w:val="000000"/>
          <w:sz w:val="28"/>
        </w:rPr>
        <w:t>
      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bookmarkEnd w:id="87"/>
    <w:bookmarkStart w:name="z98" w:id="88"/>
    <w:p>
      <w:pPr>
        <w:spacing w:after="0"/>
        <w:ind w:left="0"/>
        <w:jc w:val="both"/>
      </w:pPr>
      <w:r>
        <w:rPr>
          <w:rFonts w:ascii="Times New Roman"/>
          <w:b w:val="false"/>
          <w:i w:val="false"/>
          <w:color w:val="000000"/>
          <w:sz w:val="28"/>
        </w:rPr>
        <w:t>
      SР = SРз + SРн, где:</w:t>
      </w:r>
    </w:p>
    <w:bookmarkEnd w:id="88"/>
    <w:bookmarkStart w:name="z99" w:id="89"/>
    <w:p>
      <w:pPr>
        <w:spacing w:after="0"/>
        <w:ind w:left="0"/>
        <w:jc w:val="both"/>
      </w:pPr>
      <w:r>
        <w:rPr>
          <w:rFonts w:ascii="Times New Roman"/>
          <w:b w:val="false"/>
          <w:i w:val="false"/>
          <w:color w:val="000000"/>
          <w:sz w:val="28"/>
        </w:rPr>
        <w:t>
      SР – показатель степени риска по нарушениям;</w:t>
      </w:r>
    </w:p>
    <w:bookmarkEnd w:id="89"/>
    <w:bookmarkStart w:name="z100" w:id="90"/>
    <w:p>
      <w:pPr>
        <w:spacing w:after="0"/>
        <w:ind w:left="0"/>
        <w:jc w:val="both"/>
      </w:pPr>
      <w:r>
        <w:rPr>
          <w:rFonts w:ascii="Times New Roman"/>
          <w:b w:val="false"/>
          <w:i w:val="false"/>
          <w:color w:val="000000"/>
          <w:sz w:val="28"/>
        </w:rPr>
        <w:t>
      SРз – показатель значительных нарушений;</w:t>
      </w:r>
    </w:p>
    <w:bookmarkEnd w:id="90"/>
    <w:bookmarkStart w:name="z101" w:id="91"/>
    <w:p>
      <w:pPr>
        <w:spacing w:after="0"/>
        <w:ind w:left="0"/>
        <w:jc w:val="both"/>
      </w:pPr>
      <w:r>
        <w:rPr>
          <w:rFonts w:ascii="Times New Roman"/>
          <w:b w:val="false"/>
          <w:i w:val="false"/>
          <w:color w:val="000000"/>
          <w:sz w:val="28"/>
        </w:rPr>
        <w:t>
      SРн – показатель незначительных нарушений.</w:t>
      </w:r>
    </w:p>
    <w:bookmarkEnd w:id="91"/>
    <w:bookmarkStart w:name="z102" w:id="92"/>
    <w:p>
      <w:pPr>
        <w:spacing w:after="0"/>
        <w:ind w:left="0"/>
        <w:jc w:val="both"/>
      </w:pPr>
      <w:r>
        <w:rPr>
          <w:rFonts w:ascii="Times New Roman"/>
          <w:b w:val="false"/>
          <w:i w:val="false"/>
          <w:color w:val="000000"/>
          <w:sz w:val="28"/>
        </w:rPr>
        <w:t>
      Полученное значение показателя степени риска по нарушениям включается в расчет показателя степени риска по субъективным критериям.</w:t>
      </w:r>
    </w:p>
    <w:bookmarkEnd w:id="92"/>
    <w:bookmarkStart w:name="z103" w:id="93"/>
    <w:p>
      <w:pPr>
        <w:spacing w:after="0"/>
        <w:ind w:left="0"/>
        <w:jc w:val="both"/>
      </w:pPr>
      <w:r>
        <w:rPr>
          <w:rFonts w:ascii="Times New Roman"/>
          <w:b w:val="false"/>
          <w:i w:val="false"/>
          <w:color w:val="000000"/>
          <w:sz w:val="28"/>
        </w:rPr>
        <w:t>
      12. Расчет показателя степени риска по субъективным критериям, определенным в соответствии с пунктом 7 настоящих Критериев, производится по шкале от 0 до 100 баллов и осуществляется по следующей формуле:</w:t>
      </w:r>
    </w:p>
    <w:bookmarkEnd w:id="93"/>
    <w:bookmarkStart w:name="z104"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17399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399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5" w:id="95"/>
    <w:p>
      <w:pPr>
        <w:spacing w:after="0"/>
        <w:ind w:left="0"/>
        <w:jc w:val="both"/>
      </w:pPr>
      <w:r>
        <w:rPr>
          <w:rFonts w:ascii="Times New Roman"/>
          <w:b w:val="false"/>
          <w:i w:val="false"/>
          <w:color w:val="000000"/>
          <w:sz w:val="28"/>
        </w:rPr>
        <w:t>
      xi – показатель субъективного критерия;</w:t>
      </w:r>
    </w:p>
    <w:bookmarkEnd w:id="95"/>
    <w:bookmarkStart w:name="z106" w:id="96"/>
    <w:p>
      <w:pPr>
        <w:spacing w:after="0"/>
        <w:ind w:left="0"/>
        <w:jc w:val="both"/>
      </w:pPr>
      <w:r>
        <w:rPr>
          <w:rFonts w:ascii="Times New Roman"/>
          <w:b w:val="false"/>
          <w:i w:val="false"/>
          <w:color w:val="000000"/>
          <w:sz w:val="28"/>
        </w:rPr>
        <w:t>
      wi – удельный вес показателя субъективного критерия xi;</w:t>
      </w:r>
    </w:p>
    <w:bookmarkEnd w:id="96"/>
    <w:bookmarkStart w:name="z107" w:id="97"/>
    <w:p>
      <w:pPr>
        <w:spacing w:after="0"/>
        <w:ind w:left="0"/>
        <w:jc w:val="both"/>
      </w:pPr>
      <w:r>
        <w:rPr>
          <w:rFonts w:ascii="Times New Roman"/>
          <w:b w:val="false"/>
          <w:i w:val="false"/>
          <w:color w:val="000000"/>
          <w:sz w:val="28"/>
        </w:rPr>
        <w:t>
      n – количество показателей.</w:t>
      </w:r>
    </w:p>
    <w:bookmarkEnd w:id="97"/>
    <w:bookmarkStart w:name="z108" w:id="98"/>
    <w:p>
      <w:pPr>
        <w:spacing w:after="0"/>
        <w:ind w:left="0"/>
        <w:jc w:val="both"/>
      </w:pPr>
      <w:r>
        <w:rPr>
          <w:rFonts w:ascii="Times New Roman"/>
          <w:b w:val="false"/>
          <w:i w:val="false"/>
          <w:color w:val="000000"/>
          <w:sz w:val="28"/>
        </w:rPr>
        <w:t>
      Полученное значение показателя степени риска по субъективным критериям, определенным в соответствии с пунктом 8 настоящих Критериев, включается в расчет показателя степени риска по субъективным критериям</w:t>
      </w:r>
    </w:p>
    <w:bookmarkEnd w:id="98"/>
    <w:bookmarkStart w:name="z109" w:id="99"/>
    <w:p>
      <w:pPr>
        <w:spacing w:after="0"/>
        <w:ind w:left="0"/>
        <w:jc w:val="both"/>
      </w:pPr>
      <w:r>
        <w:rPr>
          <w:rFonts w:ascii="Times New Roman"/>
          <w:b w:val="false"/>
          <w:i w:val="false"/>
          <w:color w:val="000000"/>
          <w:sz w:val="28"/>
        </w:rPr>
        <w:t>
      13. Рассчитанные по субъектам (объектам)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bookmarkEnd w:id="99"/>
    <w:bookmarkStart w:name="z110"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17653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7653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 w:id="101"/>
    <w:p>
      <w:pPr>
        <w:spacing w:after="0"/>
        <w:ind w:left="0"/>
        <w:jc w:val="both"/>
      </w:pPr>
      <w:r>
        <w:rPr>
          <w:rFonts w:ascii="Times New Roman"/>
          <w:b w:val="false"/>
          <w:i w:val="false"/>
          <w:color w:val="000000"/>
          <w:sz w:val="28"/>
        </w:rPr>
        <w:t>
      R – показатель степени риска (итоговый) по субъективным критериям отдельного субъекта (объекта) контроля,</w:t>
      </w:r>
    </w:p>
    <w:bookmarkEnd w:id="101"/>
    <w:bookmarkStart w:name="z112" w:id="102"/>
    <w:p>
      <w:pPr>
        <w:spacing w:after="0"/>
        <w:ind w:left="0"/>
        <w:jc w:val="both"/>
      </w:pPr>
      <w:r>
        <w:rPr>
          <w:rFonts w:ascii="Times New Roman"/>
          <w:b w:val="false"/>
          <w:i w:val="false"/>
          <w:color w:val="000000"/>
          <w:sz w:val="28"/>
        </w:rPr>
        <w:t>
      Rmax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bookmarkEnd w:id="102"/>
    <w:bookmarkStart w:name="z113" w:id="103"/>
    <w:p>
      <w:pPr>
        <w:spacing w:after="0"/>
        <w:ind w:left="0"/>
        <w:jc w:val="both"/>
      </w:pPr>
      <w:r>
        <w:rPr>
          <w:rFonts w:ascii="Times New Roman"/>
          <w:b w:val="false"/>
          <w:i w:val="false"/>
          <w:color w:val="000000"/>
          <w:sz w:val="28"/>
        </w:rPr>
        <w:t>
      Rmin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bookmarkEnd w:id="103"/>
    <w:bookmarkStart w:name="z114" w:id="104"/>
    <w:p>
      <w:pPr>
        <w:spacing w:after="0"/>
        <w:ind w:left="0"/>
        <w:jc w:val="both"/>
      </w:pPr>
      <w:r>
        <w:rPr>
          <w:rFonts w:ascii="Times New Roman"/>
          <w:b w:val="false"/>
          <w:i w:val="false"/>
          <w:color w:val="000000"/>
          <w:sz w:val="28"/>
        </w:rPr>
        <w:t>
      Rпром – промежуточный показатель степени риска по субъективным критериям, рассчитанный в соответствии с пунктом 10 настоящих Критериев.</w:t>
      </w:r>
    </w:p>
    <w:bookmarkEnd w:id="104"/>
    <w:bookmarkStart w:name="z115" w:id="105"/>
    <w:p>
      <w:pPr>
        <w:spacing w:after="0"/>
        <w:ind w:left="0"/>
        <w:jc w:val="both"/>
      </w:pPr>
      <w:r>
        <w:rPr>
          <w:rFonts w:ascii="Times New Roman"/>
          <w:b w:val="false"/>
          <w:i w:val="false"/>
          <w:color w:val="000000"/>
          <w:sz w:val="28"/>
        </w:rPr>
        <w:t>
      14. При этом 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bookmarkEnd w:id="105"/>
    <w:bookmarkStart w:name="z116" w:id="106"/>
    <w:p>
      <w:pPr>
        <w:spacing w:after="0"/>
        <w:ind w:left="0"/>
        <w:jc w:val="both"/>
      </w:pPr>
      <w:r>
        <w:rPr>
          <w:rFonts w:ascii="Times New Roman"/>
          <w:b w:val="false"/>
          <w:i w:val="false"/>
          <w:color w:val="000000"/>
          <w:sz w:val="28"/>
        </w:rPr>
        <w:t>
      В отношении субъектов контроля, устранивших в полном объеме выданные нарушения по итогам проведенного предыдущего профилактического контроля с посещением не допускается включение их при формировании списков на очередной период государственного контроля.</w:t>
      </w:r>
    </w:p>
    <w:bookmarkEnd w:id="106"/>
    <w:bookmarkStart w:name="z117" w:id="107"/>
    <w:p>
      <w:pPr>
        <w:spacing w:after="0"/>
        <w:ind w:left="0"/>
        <w:jc w:val="both"/>
      </w:pPr>
      <w:r>
        <w:rPr>
          <w:rFonts w:ascii="Times New Roman"/>
          <w:b w:val="false"/>
          <w:i w:val="false"/>
          <w:color w:val="000000"/>
          <w:sz w:val="28"/>
        </w:rPr>
        <w:t>
      15. Профилактический контроль с посещением субъекта (объекта) контроля проводятся на основании полугодовых списков профилактического контроля с посещением субъекта (объекта) контроля, формируемых в соответствии со статьей 144-2 Кодекса.</w:t>
      </w:r>
    </w:p>
    <w:bookmarkEnd w:id="107"/>
    <w:bookmarkStart w:name="z118" w:id="108"/>
    <w:p>
      <w:pPr>
        <w:spacing w:after="0"/>
        <w:ind w:left="0"/>
        <w:jc w:val="both"/>
      </w:pPr>
      <w:r>
        <w:rPr>
          <w:rFonts w:ascii="Times New Roman"/>
          <w:b w:val="false"/>
          <w:i w:val="false"/>
          <w:color w:val="000000"/>
          <w:sz w:val="28"/>
        </w:rPr>
        <w:t>
      16. Списки профилактического контроля с посещением субъекта (объекта) контроля составляются с учетом приоритетности субъекта контроля с наибольшим показателем степени риска по субъективным критериям.</w:t>
      </w:r>
    </w:p>
    <w:bookmarkEnd w:id="108"/>
    <w:bookmarkStart w:name="z119" w:id="109"/>
    <w:p>
      <w:pPr>
        <w:spacing w:after="0"/>
        <w:ind w:left="0"/>
        <w:jc w:val="left"/>
      </w:pPr>
      <w:r>
        <w:rPr>
          <w:rFonts w:ascii="Times New Roman"/>
          <w:b/>
          <w:i w:val="false"/>
          <w:color w:val="000000"/>
        </w:rPr>
        <w:t xml:space="preserve"> Глава 4. Управление рисками</w:t>
      </w:r>
    </w:p>
    <w:bookmarkEnd w:id="109"/>
    <w:bookmarkStart w:name="z120" w:id="110"/>
    <w:p>
      <w:pPr>
        <w:spacing w:after="0"/>
        <w:ind w:left="0"/>
        <w:jc w:val="both"/>
      </w:pPr>
      <w:r>
        <w:rPr>
          <w:rFonts w:ascii="Times New Roman"/>
          <w:b w:val="false"/>
          <w:i w:val="false"/>
          <w:color w:val="000000"/>
          <w:sz w:val="28"/>
        </w:rPr>
        <w:t>
      17. В целях реализации принципа поощрения добросовестных субъектов контроля и концентрации контроля на нарушителях субъекты (объекты) контроля освобождаются от проведения профилактического контроля с посещением субъекта (объекта) контроля на период, определяемый критериями оценки степени риска регулирующего государственного органа, посредством применения субъективных критериев.</w:t>
      </w:r>
    </w:p>
    <w:bookmarkEnd w:id="110"/>
    <w:bookmarkStart w:name="z121" w:id="111"/>
    <w:p>
      <w:pPr>
        <w:spacing w:after="0"/>
        <w:ind w:left="0"/>
        <w:jc w:val="both"/>
      </w:pPr>
      <w:r>
        <w:rPr>
          <w:rFonts w:ascii="Times New Roman"/>
          <w:b w:val="false"/>
          <w:i w:val="false"/>
          <w:color w:val="000000"/>
          <w:sz w:val="28"/>
        </w:rPr>
        <w:t>
      18. Субъекты (объекты)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w:t>
      </w:r>
    </w:p>
    <w:bookmarkEnd w:id="111"/>
    <w:bookmarkStart w:name="z457" w:id="112"/>
    <w:p>
      <w:pPr>
        <w:spacing w:after="0"/>
        <w:ind w:left="0"/>
        <w:jc w:val="both"/>
      </w:pPr>
      <w:r>
        <w:rPr>
          <w:rFonts w:ascii="Times New Roman"/>
          <w:b w:val="false"/>
          <w:i w:val="false"/>
          <w:color w:val="000000"/>
          <w:sz w:val="28"/>
        </w:rPr>
        <w:t>
      1) если такие субъекты заключили договоры страхования гражданско-правовой ответственности перед третьими лицами в случаях и порядке, установленных законами Республики Казахстан;</w:t>
      </w:r>
    </w:p>
    <w:bookmarkEnd w:id="112"/>
    <w:bookmarkStart w:name="z458" w:id="113"/>
    <w:p>
      <w:pPr>
        <w:spacing w:after="0"/>
        <w:ind w:left="0"/>
        <w:jc w:val="both"/>
      </w:pPr>
      <w:r>
        <w:rPr>
          <w:rFonts w:ascii="Times New Roman"/>
          <w:b w:val="false"/>
          <w:i w:val="false"/>
          <w:color w:val="000000"/>
          <w:sz w:val="28"/>
        </w:rPr>
        <w:t>
      2)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(объекта) контроля;</w:t>
      </w:r>
    </w:p>
    <w:bookmarkEnd w:id="113"/>
    <w:bookmarkStart w:name="z459" w:id="114"/>
    <w:p>
      <w:pPr>
        <w:spacing w:after="0"/>
        <w:ind w:left="0"/>
        <w:jc w:val="both"/>
      </w:pPr>
      <w:r>
        <w:rPr>
          <w:rFonts w:ascii="Times New Roman"/>
          <w:b w:val="false"/>
          <w:i w:val="false"/>
          <w:color w:val="000000"/>
          <w:sz w:val="28"/>
        </w:rPr>
        <w:t>
      3) если субъекты являются членами саморегулируемой организации, основанной на добровольном членстве (участии) в соответствии с Законом Республики Казахстан "О саморегулировании", с которой заключено соглашение о признании результатов деятельности саморегулируемой организации.</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в редакции совместного приказа Министра водных ресурсов и ирригации РК от 30.07.2026 </w:t>
      </w:r>
      <w:r>
        <w:rPr>
          <w:rFonts w:ascii="Times New Roman"/>
          <w:b w:val="false"/>
          <w:i w:val="false"/>
          <w:color w:val="000000"/>
          <w:sz w:val="28"/>
        </w:rPr>
        <w:t>№ 236-НҚ</w:t>
      </w:r>
      <w:r>
        <w:rPr>
          <w:rFonts w:ascii="Times New Roman"/>
          <w:b w:val="false"/>
          <w:i w:val="false"/>
          <w:color w:val="ff0000"/>
          <w:sz w:val="28"/>
        </w:rPr>
        <w:t xml:space="preserve"> и и.о. Министра национальной экономики РК от 03.08.2026 № 120 (вводится в действие после дня его первого официального опубликования).</w:t>
      </w:r>
      <w:r>
        <w:br/>
      </w:r>
      <w:r>
        <w:rPr>
          <w:rFonts w:ascii="Times New Roman"/>
          <w:b w:val="false"/>
          <w:i w:val="false"/>
          <w:color w:val="000000"/>
          <w:sz w:val="28"/>
        </w:rPr>
        <w:t>
</w:t>
      </w:r>
    </w:p>
    <w:bookmarkStart w:name="z125" w:id="115"/>
    <w:p>
      <w:pPr>
        <w:spacing w:after="0"/>
        <w:ind w:left="0"/>
        <w:jc w:val="both"/>
      </w:pPr>
      <w:r>
        <w:rPr>
          <w:rFonts w:ascii="Times New Roman"/>
          <w:b w:val="false"/>
          <w:i w:val="false"/>
          <w:color w:val="000000"/>
          <w:sz w:val="28"/>
        </w:rPr>
        <w:t xml:space="preserve">
      19. Регулирующие государственные органы, а также государственные органы при осуществлении государственного контроля за членом (участником) саморегулируемой организации, основанной на добровольном членстве (участии), учитывают факт наличия такого членства (участия) в критериях оценки степени риска, как смягчающий индикатор, с учетом заключенного соглашения о признании результатов деятельности саморегулируемой организации в порядке, определяемом уполномоченным органом по предпринимательству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141 Кодекса.</w:t>
      </w:r>
    </w:p>
    <w:bookmarkEnd w:id="115"/>
    <w:bookmarkStart w:name="z126" w:id="116"/>
    <w:p>
      <w:pPr>
        <w:spacing w:after="0"/>
        <w:ind w:left="0"/>
        <w:jc w:val="both"/>
      </w:pPr>
      <w:r>
        <w:rPr>
          <w:rFonts w:ascii="Times New Roman"/>
          <w:b w:val="false"/>
          <w:i w:val="false"/>
          <w:color w:val="000000"/>
          <w:sz w:val="28"/>
        </w:rPr>
        <w:t>
      20. В целях освобождения от профилактического контроля с посещением субъекта (объекта) контроля, регулирующими государственными органами, а также государственными органами учитываются смягчающие индикаторы.</w:t>
      </w:r>
    </w:p>
    <w:bookmarkEnd w:id="116"/>
    <w:bookmarkStart w:name="z127" w:id="117"/>
    <w:p>
      <w:pPr>
        <w:spacing w:after="0"/>
        <w:ind w:left="0"/>
        <w:jc w:val="both"/>
      </w:pPr>
      <w:r>
        <w:rPr>
          <w:rFonts w:ascii="Times New Roman"/>
          <w:b w:val="false"/>
          <w:i w:val="false"/>
          <w:color w:val="000000"/>
          <w:sz w:val="28"/>
        </w:rPr>
        <w:t>
      К смягчающим индикаторам относится:</w:t>
      </w:r>
    </w:p>
    <w:bookmarkEnd w:id="117"/>
    <w:bookmarkStart w:name="z128" w:id="118"/>
    <w:p>
      <w:pPr>
        <w:spacing w:after="0"/>
        <w:ind w:left="0"/>
        <w:jc w:val="both"/>
      </w:pPr>
      <w:r>
        <w:rPr>
          <w:rFonts w:ascii="Times New Roman"/>
          <w:b w:val="false"/>
          <w:i w:val="false"/>
          <w:color w:val="000000"/>
          <w:sz w:val="28"/>
        </w:rPr>
        <w:t>
      1) наличие аудио и (или) видео фиксации, с передачей данных в онлайн-режиме;</w:t>
      </w:r>
    </w:p>
    <w:bookmarkEnd w:id="118"/>
    <w:bookmarkStart w:name="z129" w:id="119"/>
    <w:p>
      <w:pPr>
        <w:spacing w:after="0"/>
        <w:ind w:left="0"/>
        <w:jc w:val="both"/>
      </w:pPr>
      <w:r>
        <w:rPr>
          <w:rFonts w:ascii="Times New Roman"/>
          <w:b w:val="false"/>
          <w:i w:val="false"/>
          <w:color w:val="000000"/>
          <w:sz w:val="28"/>
        </w:rPr>
        <w:t>
      2) наличие датчиков и фиксирующих устройств по передаче данных в системы государственных органов (датчики воды, датчики фиксации выбросов в атмосферу).</w:t>
      </w:r>
    </w:p>
    <w:bookmarkEnd w:id="119"/>
    <w:bookmarkStart w:name="z130" w:id="120"/>
    <w:p>
      <w:pPr>
        <w:spacing w:after="0"/>
        <w:ind w:left="0"/>
        <w:jc w:val="both"/>
      </w:pPr>
      <w:r>
        <w:rPr>
          <w:rFonts w:ascii="Times New Roman"/>
          <w:b w:val="false"/>
          <w:i w:val="false"/>
          <w:color w:val="000000"/>
          <w:sz w:val="28"/>
        </w:rPr>
        <w:t xml:space="preserve">
      21. Освобождение от профилактического контроля с посещением субъекта (объекта) контроля возможно на основании применяемых альтернативных (независимых) систем оценки и анализа рисков, аудита, экспертиз в соответствии с критериями оценки степени риска регулирующего государственного органа, если такие основания предусмотрены в международных договорах, ратифицированных Республикой Казахстан. </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Критериям оценки степени риска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bl>
    <w:p>
      <w:pPr>
        <w:spacing w:after="0"/>
        <w:ind w:left="0"/>
        <w:jc w:val="both"/>
      </w:pPr>
      <w:r>
        <w:rPr>
          <w:rFonts w:ascii="Times New Roman"/>
          <w:b w:val="false"/>
          <w:i w:val="false"/>
          <w:color w:val="ff0000"/>
          <w:sz w:val="28"/>
        </w:rPr>
        <w:t xml:space="preserve">
      Сноска. Правый верхний угол приложения 1 – в редакции совместного приказа и.о. Министра водных ресурсов и ирригации РК от 03.07.2025 </w:t>
      </w:r>
      <w:r>
        <w:rPr>
          <w:rFonts w:ascii="Times New Roman"/>
          <w:b w:val="false"/>
          <w:i w:val="false"/>
          <w:color w:val="ff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p>
    <w:bookmarkStart w:name="z133" w:id="121"/>
    <w:p>
      <w:pPr>
        <w:spacing w:after="0"/>
        <w:ind w:left="0"/>
        <w:jc w:val="left"/>
      </w:pPr>
      <w:r>
        <w:rPr>
          <w:rFonts w:ascii="Times New Roman"/>
          <w:b/>
          <w:i w:val="false"/>
          <w:color w:val="000000"/>
        </w:rPr>
        <w:t xml:space="preserve"> Степени нарушений требований к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w:t>
      </w:r>
    </w:p>
    <w:bookmarkEnd w:id="121"/>
    <w:p>
      <w:pPr>
        <w:spacing w:after="0"/>
        <w:ind w:left="0"/>
        <w:jc w:val="both"/>
      </w:pPr>
      <w:r>
        <w:rPr>
          <w:rFonts w:ascii="Times New Roman"/>
          <w:b w:val="false"/>
          <w:i w:val="false"/>
          <w:color w:val="ff0000"/>
          <w:sz w:val="28"/>
        </w:rPr>
        <w:t xml:space="preserve">
      Сноска. Заголовок – в редакции совместного приказа и.о. Министра водных ресурсов и ирригации РК от 03.07.2025 </w:t>
      </w:r>
      <w:r>
        <w:rPr>
          <w:rFonts w:ascii="Times New Roman"/>
          <w:b w:val="false"/>
          <w:i w:val="false"/>
          <w:color w:val="ff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1 с изменениями, внесенными совместным приказом Министра водных ресурсов и ирригации РК от 30.07.2026 </w:t>
      </w:r>
      <w:r>
        <w:rPr>
          <w:rFonts w:ascii="Times New Roman"/>
          <w:b w:val="false"/>
          <w:i w:val="false"/>
          <w:color w:val="000000"/>
          <w:sz w:val="28"/>
        </w:rPr>
        <w:t>№ 236-НҚ</w:t>
      </w:r>
      <w:r>
        <w:rPr>
          <w:rFonts w:ascii="Times New Roman"/>
          <w:b w:val="false"/>
          <w:i w:val="false"/>
          <w:color w:val="000000"/>
          <w:sz w:val="28"/>
        </w:rPr>
        <w:t xml:space="preserve"> и и.о. Министра национальной экономики РК от 03.08.2026 № 120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2"/>
          <w:p>
            <w:pPr>
              <w:spacing w:after="20"/>
              <w:ind w:left="20"/>
              <w:jc w:val="both"/>
            </w:pPr>
            <w:r>
              <w:rPr>
                <w:rFonts w:ascii="Times New Roman"/>
                <w:b w:val="false"/>
                <w:i w:val="false"/>
                <w:color w:val="000000"/>
                <w:sz w:val="20"/>
              </w:rPr>
              <w:t>
№</w:t>
            </w:r>
          </w:p>
          <w:bookmarkEnd w:id="122"/>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предыдущего профилактического контроля с посещением субъекта (объекта) контроля (степень тяжести устанавливается при несоблюдении нижеперечисленных требований)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Доведение до сведения потребителя информации об утверждении тарифа не позднее чем за тридцать календарных дней до его введения в действие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в уполномоченный орган с заявкой для утверждения тарифа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в уполномоченный орган с заявлением о включении в Государственный регистр субъектов естественных монополий, об исключении из него, о внесении изменений и (или) дополнений в него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передавать принадлежащее на праве собственности или ином законном основании имущество, используемое в технологическом цикле при производстве и (или) предоставлении регулируемой услуге, в доверительное управление, имущественный наем (аренду), включая лизинг за исключением случаев, передаче в доверительное управление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передаваемых в доверительное управление активов субъекта естественной монополии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в соответствии с типовыми договорами индивидуальных договоров с потребителями на каждый вид предоставляемых регулируемых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Отчуждение имущества, используемого в технологическом цикле при производстве и (или) предоставлении регулируемой услуги, на торгах, за исключением случаев передачи имущества в собственность государства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23"/>
          <w:p>
            <w:pPr>
              <w:spacing w:after="20"/>
              <w:ind w:left="20"/>
              <w:jc w:val="both"/>
            </w:pPr>
            <w:r>
              <w:rPr>
                <w:rFonts w:ascii="Times New Roman"/>
                <w:b w:val="false"/>
                <w:i w:val="false"/>
                <w:color w:val="000000"/>
                <w:sz w:val="20"/>
              </w:rPr>
              <w:t>
Получение согласия уполномоченного органа на:</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w:t>
            </w:r>
          </w:p>
          <w:p>
            <w:pPr>
              <w:spacing w:after="20"/>
              <w:ind w:left="20"/>
              <w:jc w:val="both"/>
            </w:pPr>
            <w:r>
              <w:rPr>
                <w:rFonts w:ascii="Times New Roman"/>
                <w:b w:val="false"/>
                <w:i w:val="false"/>
                <w:color w:val="000000"/>
                <w:sz w:val="20"/>
              </w:rPr>
              <w:t>
2) реорганизацию или ликвидацию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требований по предоставлению регулируемой услуги по тарифу, утвержденному уполномоченным органом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установление дополнительных требований, не относящихся к предоставляемой регулируемой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потребителям равных условий доступа к регулируемой услуге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запрету на ограничение деятельности потребителя по проведению работ в соответствии с техническими условиями на подключение к сетям субъекта естественной монополии или увеличения объема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запрету на требование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запрету на взимание платы за предоставление информации о свободных мощностях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 установление потребителям приборов учета, за исключением случаев приемки и ввода объектов строительства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доступа к объектам утвержденной инвестиционной программы и предоставление информации об исполнении утвержденной инвестиционной программы лицам, уполномоченным на проведение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достижения показателей эффективности деятельности субъектов естественных монополий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Взимание с потребителей платы за приобретение и установку прибора учета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24"/>
          <w:p>
            <w:pPr>
              <w:spacing w:after="20"/>
              <w:ind w:left="20"/>
              <w:jc w:val="both"/>
            </w:pPr>
            <w:r>
              <w:rPr>
                <w:rFonts w:ascii="Times New Roman"/>
                <w:b w:val="false"/>
                <w:i w:val="false"/>
                <w:color w:val="000000"/>
                <w:sz w:val="20"/>
              </w:rPr>
              <w:t>
Осуществление закупок товаров, работ, услуг на портале одним из следующих способов:</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1) конкурса;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запроса ценовых предложений;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из одного источника;</w:t>
            </w:r>
          </w:p>
          <w:p>
            <w:pPr>
              <w:spacing w:after="20"/>
              <w:ind w:left="20"/>
              <w:jc w:val="both"/>
            </w:pPr>
            <w:r>
              <w:rPr>
                <w:rFonts w:ascii="Times New Roman"/>
                <w:b w:val="false"/>
                <w:i w:val="false"/>
                <w:color w:val="000000"/>
                <w:sz w:val="20"/>
              </w:rPr>
              <w:t>
4) через товарные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своем интернет-ресурсе, а в случае отсутствия своего интернет-ресурса предоставление уполномоченному органу информацию о портале, на котором осуществляются закупки, с указанием ссылки на портал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утверждению состава конкурсной комиссии, в том числе секретаря конкурсной комиссии и определению технических экспертов для определения соответствия товаров, работ, услуг техническим и качественным характеристикам в соответствии с конкурсной документацией, включая технические спецификации, планы, чертежи, эскизы, до публикации конкурсной документации на портале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конкурсной комиссией открытым голосованием и считать принятым, если за него проголосовало большинство от общего количества членов конкурсной комиссии. При равенстве голосов принятым считается решение, за которое проголосовал председатель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в конкурсной документации товаров, работ и услуг на части (лоты) по месту их поставки (выполнения, оказания) при проведении конкурса по закупкам однородных товаров, работ,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не позднее трех рабочих дней со дня получения запроса ответа на запрос (при наличии) потенциального поставщика по разъяснению конкурсной документации и направление такого разъяснения всем потенциальным поставщикам, которым была предоставлена конкурсная документация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25"/>
          <w:p>
            <w:pPr>
              <w:spacing w:after="20"/>
              <w:ind w:left="20"/>
              <w:jc w:val="both"/>
            </w:pPr>
            <w:r>
              <w:rPr>
                <w:rFonts w:ascii="Times New Roman"/>
                <w:b w:val="false"/>
                <w:i w:val="false"/>
                <w:color w:val="000000"/>
                <w:sz w:val="20"/>
              </w:rPr>
              <w:t>
Возвращение обеспечения конкурсной заявки в течение пяти рабочих дней со дня наступления следующих случаев:</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1) истечения срока действия конкурсной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вступления в силу договора закупок;</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отзыва конкурсной заявки до истечения окончательного срока представления конкурсных заявок;</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отклонения конкурсной заявки, как не отвечающей требованиям конкурсной документации;</w:t>
            </w:r>
          </w:p>
          <w:p>
            <w:pPr>
              <w:spacing w:after="20"/>
              <w:ind w:left="20"/>
              <w:jc w:val="both"/>
            </w:pPr>
            <w:r>
              <w:rPr>
                <w:rFonts w:ascii="Times New Roman"/>
                <w:b w:val="false"/>
                <w:i w:val="false"/>
                <w:color w:val="000000"/>
                <w:sz w:val="20"/>
              </w:rPr>
              <w:t>
5) прекращения процедур закупок без определения победителя конкурса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конкурсной комиссией конкурсных заявок потенциальных поставщиков отдельно по каждому лоту не более пяти рабочих дней со дня окончания представления конкурсных заявок, установленного в объявлении о проведении конкурса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Непринятие конкурсной комиссией к оценке и сопоставлению конкурсной заявки потенциального поставщика по следующим основаниям:</w:t>
            </w:r>
          </w:p>
          <w:p>
            <w:pPr>
              <w:spacing w:after="20"/>
              <w:ind w:left="20"/>
              <w:jc w:val="both"/>
            </w:pPr>
            <w:r>
              <w:rPr>
                <w:rFonts w:ascii="Times New Roman"/>
                <w:b w:val="false"/>
                <w:i w:val="false"/>
                <w:color w:val="000000"/>
                <w:sz w:val="20"/>
              </w:rPr>
              <w:t>
1) не представлены документы</w:t>
            </w:r>
          </w:p>
          <w:p>
            <w:pPr>
              <w:spacing w:after="20"/>
              <w:ind w:left="20"/>
              <w:jc w:val="both"/>
            </w:pPr>
            <w:r>
              <w:rPr>
                <w:rFonts w:ascii="Times New Roman"/>
                <w:b w:val="false"/>
                <w:i w:val="false"/>
                <w:color w:val="000000"/>
                <w:sz w:val="20"/>
              </w:rPr>
              <w:t>
(1. Техническая спецификация с описанием функциональных, технических, качественных и эксплуатационных характеристик товаров, работ, услуг, а также документов, подтверждающих соответствие товаров, работ, услуг этим требованиям.</w:t>
            </w:r>
          </w:p>
          <w:p>
            <w:pPr>
              <w:spacing w:after="20"/>
              <w:ind w:left="20"/>
              <w:jc w:val="both"/>
            </w:pPr>
            <w:r>
              <w:rPr>
                <w:rFonts w:ascii="Times New Roman"/>
                <w:b w:val="false"/>
                <w:i w:val="false"/>
                <w:color w:val="000000"/>
                <w:sz w:val="20"/>
              </w:rPr>
              <w:t>
2. Лицензии, разрешения (уведомления), патента, свидетельства, сертификата, диплома,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p>
            <w:pPr>
              <w:spacing w:after="20"/>
              <w:ind w:left="20"/>
              <w:jc w:val="both"/>
            </w:pPr>
            <w:r>
              <w:rPr>
                <w:rFonts w:ascii="Times New Roman"/>
                <w:b w:val="false"/>
                <w:i w:val="false"/>
                <w:color w:val="000000"/>
                <w:sz w:val="20"/>
              </w:rPr>
              <w:t>
3. Справки банка или филиала банка, в котором обслуживается потенциальный поставщик, об отсутствии просроченной задолженности по обязательствам потенциального поставщика, длящимся более трех месяцев, перед банком или филиалом банка (в случае, если потенциальный поставщик является клиентом нескольких банков второго уровня или филиалов, а также иностранного банка, данная справка представляется от каждого из таких банков). Справка, выданная не ранее одного месяца, предшествующего дате вскрытия конвертов с конкурсными заявками.</w:t>
            </w:r>
          </w:p>
          <w:p>
            <w:pPr>
              <w:spacing w:after="20"/>
              <w:ind w:left="20"/>
              <w:jc w:val="both"/>
            </w:pPr>
            <w:r>
              <w:rPr>
                <w:rFonts w:ascii="Times New Roman"/>
                <w:b w:val="false"/>
                <w:i w:val="false"/>
                <w:color w:val="000000"/>
                <w:sz w:val="20"/>
              </w:rPr>
              <w:t>
4. Сведений об отсутствии (наличии) задолженности, учет по которым ведется в органах государственных доходов, выданной не ранее трех месяцев до дня вскрытия конкурсных заявок.</w:t>
            </w:r>
          </w:p>
          <w:p>
            <w:pPr>
              <w:spacing w:after="20"/>
              <w:ind w:left="20"/>
              <w:jc w:val="both"/>
            </w:pPr>
            <w:r>
              <w:rPr>
                <w:rFonts w:ascii="Times New Roman"/>
                <w:b w:val="false"/>
                <w:i w:val="false"/>
                <w:color w:val="000000"/>
                <w:sz w:val="20"/>
              </w:rPr>
              <w:t>
5. В случае, если потенциальный поставщик не является резидентом Республики Казахстан и не зарегистрирован в качестве налогоплательщика Республики Казахстан, то представляются: справки налогового органа Республики Казахстан о том, что данный потенциальный поставщик является нерезидентом Республики Казахстан и не состоит на налоговом учете; правоустанавливающие документы с проставленным апостилем (легализованный).</w:t>
            </w:r>
          </w:p>
          <w:p>
            <w:pPr>
              <w:spacing w:after="20"/>
              <w:ind w:left="20"/>
              <w:jc w:val="both"/>
            </w:pPr>
            <w:r>
              <w:rPr>
                <w:rFonts w:ascii="Times New Roman"/>
                <w:b w:val="false"/>
                <w:i w:val="false"/>
                <w:color w:val="000000"/>
                <w:sz w:val="20"/>
              </w:rPr>
              <w:t>
6. Платежные поручения, подтверждающие внесение обеспечения конкурсной заявки на банковский счет субъекта естественной монополии (при наличии соответствующего требования в конкурсной документации).</w:t>
            </w:r>
          </w:p>
          <w:p>
            <w:pPr>
              <w:spacing w:after="20"/>
              <w:ind w:left="20"/>
              <w:jc w:val="both"/>
            </w:pPr>
            <w:r>
              <w:rPr>
                <w:rFonts w:ascii="Times New Roman"/>
                <w:b w:val="false"/>
                <w:i w:val="false"/>
                <w:color w:val="000000"/>
                <w:sz w:val="20"/>
              </w:rPr>
              <w:t>
7. В случае, если конкурс объявлен на закупки стратегического товара, то представляются документы, подтверждающие, что потенциальный поставщик является производителем стратегического товара, полученного от соответствующего компетентного органа.</w:t>
            </w:r>
          </w:p>
          <w:p>
            <w:pPr>
              <w:spacing w:after="20"/>
              <w:ind w:left="20"/>
              <w:jc w:val="both"/>
            </w:pPr>
            <w:r>
              <w:rPr>
                <w:rFonts w:ascii="Times New Roman"/>
                <w:b w:val="false"/>
                <w:i w:val="false"/>
                <w:color w:val="000000"/>
                <w:sz w:val="20"/>
              </w:rPr>
              <w:t>
8. Справка о государственной регистрации (перерегистрации) юридического лица, выданное регистрирующим органом.</w:t>
            </w:r>
          </w:p>
          <w:p>
            <w:pPr>
              <w:spacing w:after="20"/>
              <w:ind w:left="20"/>
              <w:jc w:val="both"/>
            </w:pPr>
            <w:r>
              <w:rPr>
                <w:rFonts w:ascii="Times New Roman"/>
                <w:b w:val="false"/>
                <w:i w:val="false"/>
                <w:color w:val="000000"/>
                <w:sz w:val="20"/>
              </w:rPr>
              <w:t>
9. В случае, если потенциальный поставщик является плательщиком налога на добавленную стоимость, копии свидетельства о постановке на учет по налогу на добавленную стоимость либо бумажной копии электронного документа);</w:t>
            </w:r>
          </w:p>
          <w:p>
            <w:pPr>
              <w:spacing w:after="20"/>
              <w:ind w:left="20"/>
              <w:jc w:val="both"/>
            </w:pPr>
            <w:r>
              <w:rPr>
                <w:rFonts w:ascii="Times New Roman"/>
                <w:b w:val="false"/>
                <w:i w:val="false"/>
                <w:color w:val="000000"/>
                <w:sz w:val="20"/>
              </w:rPr>
              <w:t>
2) потенциальный поставщик не внес обеспечение конкурсной заявки;</w:t>
            </w:r>
          </w:p>
          <w:p>
            <w:pPr>
              <w:spacing w:after="20"/>
              <w:ind w:left="20"/>
              <w:jc w:val="both"/>
            </w:pPr>
            <w:r>
              <w:rPr>
                <w:rFonts w:ascii="Times New Roman"/>
                <w:b w:val="false"/>
                <w:i w:val="false"/>
                <w:color w:val="000000"/>
                <w:sz w:val="20"/>
              </w:rPr>
              <w:t>
3) конкурсная заявка, содержит документы, представленные или оформленные с нарушением требований;</w:t>
            </w:r>
          </w:p>
          <w:p>
            <w:pPr>
              <w:spacing w:after="20"/>
              <w:ind w:left="20"/>
              <w:jc w:val="both"/>
            </w:pPr>
            <w:r>
              <w:rPr>
                <w:rFonts w:ascii="Times New Roman"/>
                <w:b w:val="false"/>
                <w:i w:val="false"/>
                <w:color w:val="000000"/>
                <w:sz w:val="20"/>
              </w:rPr>
              <w:t>
4) наличие в справке соответствующего налогового органа сведений о налоговой задолженности и задолженности по обязательным пенсионным взносам и социальным отчислениям в размере одного теңге и более;</w:t>
            </w:r>
          </w:p>
          <w:p>
            <w:pPr>
              <w:spacing w:after="20"/>
              <w:ind w:left="20"/>
              <w:jc w:val="both"/>
            </w:pPr>
            <w:r>
              <w:rPr>
                <w:rFonts w:ascii="Times New Roman"/>
                <w:b w:val="false"/>
                <w:i w:val="false"/>
                <w:color w:val="000000"/>
                <w:sz w:val="20"/>
              </w:rPr>
              <w:t>
5) наличие справки банка или филиала банка просроченной задолженности хотя бы по одному виду обязательств потенциального поставщика, длящейся более трех месяцев, предшествующих дате выдачи данной справки;</w:t>
            </w:r>
          </w:p>
          <w:p>
            <w:pPr>
              <w:spacing w:after="20"/>
              <w:ind w:left="20"/>
              <w:jc w:val="both"/>
            </w:pPr>
            <w:r>
              <w:rPr>
                <w:rFonts w:ascii="Times New Roman"/>
                <w:b w:val="false"/>
                <w:i w:val="false"/>
                <w:color w:val="000000"/>
                <w:sz w:val="20"/>
              </w:rPr>
              <w:t>
6) представление потенциальным поставщиком технической спецификации, не соответствующей требованиям, установленным в технической спецификации конкурсной документации;</w:t>
            </w:r>
          </w:p>
          <w:p>
            <w:pPr>
              <w:spacing w:after="20"/>
              <w:ind w:left="20"/>
              <w:jc w:val="both"/>
            </w:pPr>
            <w:r>
              <w:rPr>
                <w:rFonts w:ascii="Times New Roman"/>
                <w:b w:val="false"/>
                <w:i w:val="false"/>
                <w:color w:val="000000"/>
                <w:sz w:val="20"/>
              </w:rPr>
              <w:t>
7) установлен факт представления недостоверной информации;</w:t>
            </w:r>
          </w:p>
          <w:p>
            <w:pPr>
              <w:spacing w:after="20"/>
              <w:ind w:left="20"/>
              <w:jc w:val="both"/>
            </w:pPr>
            <w:r>
              <w:rPr>
                <w:rFonts w:ascii="Times New Roman"/>
                <w:b w:val="false"/>
                <w:i w:val="false"/>
                <w:color w:val="000000"/>
                <w:sz w:val="20"/>
              </w:rPr>
              <w:t>
8) потенциальный поставщик является аффилированным лицом другого потенциального поставщика, подавшего заявку на участие в данном конкурсе (лоте), если в конкурсе приняли участие только аффилированные между собой лица;</w:t>
            </w:r>
          </w:p>
          <w:p>
            <w:pPr>
              <w:spacing w:after="20"/>
              <w:ind w:left="20"/>
              <w:jc w:val="both"/>
            </w:pPr>
            <w:r>
              <w:rPr>
                <w:rFonts w:ascii="Times New Roman"/>
                <w:b w:val="false"/>
                <w:i w:val="false"/>
                <w:color w:val="000000"/>
                <w:sz w:val="20"/>
              </w:rPr>
              <w:t>
9) цены заявок в теңге потенциальных поставщиков, допущенных к участию в конкурсе, превышают сумму, выделенную на закупки предусмотренную перечнем;</w:t>
            </w:r>
          </w:p>
          <w:p>
            <w:pPr>
              <w:spacing w:after="20"/>
              <w:ind w:left="20"/>
              <w:jc w:val="both"/>
            </w:pPr>
            <w:r>
              <w:rPr>
                <w:rFonts w:ascii="Times New Roman"/>
                <w:b w:val="false"/>
                <w:i w:val="false"/>
                <w:color w:val="000000"/>
                <w:sz w:val="20"/>
              </w:rPr>
              <w:t>
10) ценовое предложение потенциального поставщика признано конкурсной комиссией демпинговым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признанию ценового предложения демпинговым в случае, если оно более чем на 50 процентов ниже суммы, предусмотренной на закупки конкурсной документацией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26"/>
          <w:p>
            <w:pPr>
              <w:spacing w:after="20"/>
              <w:ind w:left="20"/>
              <w:jc w:val="both"/>
            </w:pPr>
            <w:r>
              <w:rPr>
                <w:rFonts w:ascii="Times New Roman"/>
                <w:b w:val="false"/>
                <w:i w:val="false"/>
                <w:color w:val="000000"/>
                <w:sz w:val="20"/>
              </w:rPr>
              <w:t>
Признание конкурсной комиссией конкурса (лота) несостоявшимся в случае, если:</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1) после непринятия к оценке и сопоставлению конкурсных заявок потенциальных поставщиков, осталось менее двух конкурсных заявок;</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участие в конкурсе представили заявку менее двух потенциальных поставщиков;</w:t>
            </w:r>
          </w:p>
          <w:p>
            <w:pPr>
              <w:spacing w:after="20"/>
              <w:ind w:left="20"/>
              <w:jc w:val="both"/>
            </w:pPr>
            <w:r>
              <w:rPr>
                <w:rFonts w:ascii="Times New Roman"/>
                <w:b w:val="false"/>
                <w:i w:val="false"/>
                <w:color w:val="000000"/>
                <w:sz w:val="20"/>
              </w:rPr>
              <w:t>
3) победитель и потенциальный поставщик, занявший второе место, уклоняются от заключения договора о закупках в установленные сроки (не позднее пяти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27"/>
          <w:p>
            <w:pPr>
              <w:spacing w:after="20"/>
              <w:ind w:left="20"/>
              <w:jc w:val="both"/>
            </w:pPr>
            <w:r>
              <w:rPr>
                <w:rFonts w:ascii="Times New Roman"/>
                <w:b w:val="false"/>
                <w:i w:val="false"/>
                <w:color w:val="000000"/>
                <w:sz w:val="20"/>
              </w:rPr>
              <w:t>
Принятие одного из решений если конкурс признан несостоявшимся в целом или по какой-либо части (лоту):</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об изменении конкурсной документации и проведении повторного конкурса;</w:t>
            </w:r>
          </w:p>
          <w:p>
            <w:pPr>
              <w:spacing w:after="20"/>
              <w:ind w:left="20"/>
              <w:jc w:val="both"/>
            </w:pPr>
            <w:r>
              <w:rPr>
                <w:rFonts w:ascii="Times New Roman"/>
                <w:b w:val="false"/>
                <w:i w:val="false"/>
                <w:color w:val="000000"/>
                <w:sz w:val="20"/>
              </w:rPr>
              <w:t>
2) об осуществлении закупок способом из одного источника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28"/>
          <w:p>
            <w:pPr>
              <w:spacing w:after="20"/>
              <w:ind w:left="20"/>
              <w:jc w:val="both"/>
            </w:pPr>
            <w:r>
              <w:rPr>
                <w:rFonts w:ascii="Times New Roman"/>
                <w:b w:val="false"/>
                <w:i w:val="false"/>
                <w:color w:val="000000"/>
                <w:sz w:val="20"/>
              </w:rPr>
              <w:t>
Оценивание, сопоставление конкурсной комиссией конкурсных заявок, за исключением конкурсных заявок потенциальных поставщиков, не принятых к оценке и сопоставлению, и определение выигравшей конкурсной заявки на основе самой низкой цены и с учетом следующих критериев:</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1) расходов на эксплуатацию, техническое обслуживание и ремонт;</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сроков поставки товаров, выполнения работ, предоставления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соответствия функциональных, технических и качественных характеристик товаров, работ,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4) условия гарантий на товары, работы и услуги;</w:t>
            </w:r>
          </w:p>
          <w:p>
            <w:pPr>
              <w:spacing w:after="20"/>
              <w:ind w:left="20"/>
              <w:jc w:val="both"/>
            </w:pPr>
            <w:r>
              <w:rPr>
                <w:rFonts w:ascii="Times New Roman"/>
                <w:b w:val="false"/>
                <w:i w:val="false"/>
                <w:color w:val="000000"/>
                <w:sz w:val="20"/>
              </w:rPr>
              <w:t>
5) квалификационных данных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Подведение конкурсной комиссией итогов конкурса в срок не более шести рабочих дней со дня вскрытия конкурсных заявок, формирование и размещение на портале протокола об итогах конкурса по закупкам товаров, работ, услуг, подписанный электронной цифровой подписью субъекта естественной монополии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9"/>
          <w:p>
            <w:pPr>
              <w:spacing w:after="20"/>
              <w:ind w:left="20"/>
              <w:jc w:val="both"/>
            </w:pPr>
            <w:r>
              <w:rPr>
                <w:rFonts w:ascii="Times New Roman"/>
                <w:b w:val="false"/>
                <w:i w:val="false"/>
                <w:color w:val="000000"/>
                <w:sz w:val="20"/>
              </w:rPr>
              <w:t>
Соблюдение требований о наличии следующей информации при оформлении конкурсной комиссией протокола об итогах конкурса:</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наименования и краткие описания закупаемых товаров, работ,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наименования и места нахождения потенциальных поставщиков, представивших конкурсные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квалификационные данные потенциальных поставщиков, представивших конкурсные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цена и другие основные условия каждой конкурсной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изложение оценки и сопоставления конкурсных заявок;</w:t>
            </w:r>
          </w:p>
          <w:p>
            <w:pPr>
              <w:spacing w:after="20"/>
              <w:ind w:left="20"/>
              <w:jc w:val="both"/>
            </w:pPr>
            <w:r>
              <w:rPr>
                <w:rFonts w:ascii="Times New Roman"/>
                <w:b w:val="false"/>
                <w:i w:val="false"/>
                <w:color w:val="000000"/>
                <w:sz w:val="20"/>
              </w:rPr>
              <w:t>
</w:t>
            </w:r>
            <w:r>
              <w:rPr>
                <w:rFonts w:ascii="Times New Roman"/>
                <w:b w:val="false"/>
                <w:i w:val="false"/>
                <w:color w:val="000000"/>
                <w:sz w:val="20"/>
              </w:rPr>
              <w:t>6) в случае не принятия к оценке и сопоставлению конкурсных заявок – основания не принятия их к оценке и сопоставлению;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наименование и местонахождение победителя конкурса по каждому лоту и условия, по которым определен победитель;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наименование, цена потенциального поставщика, занявшего второе место;</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в результате конкурса не определен победитель – основания для принятия такого решения конкурсной комиссией;</w:t>
            </w:r>
          </w:p>
          <w:p>
            <w:pPr>
              <w:spacing w:after="20"/>
              <w:ind w:left="20"/>
              <w:jc w:val="both"/>
            </w:pPr>
            <w:r>
              <w:rPr>
                <w:rFonts w:ascii="Times New Roman"/>
                <w:b w:val="false"/>
                <w:i w:val="false"/>
                <w:color w:val="000000"/>
                <w:sz w:val="20"/>
              </w:rPr>
              <w:t>
</w:t>
            </w:r>
            <w:r>
              <w:rPr>
                <w:rFonts w:ascii="Times New Roman"/>
                <w:b w:val="false"/>
                <w:i w:val="false"/>
                <w:color w:val="000000"/>
                <w:sz w:val="20"/>
              </w:rPr>
              <w:t>10) обобщенное изложение запросов о разъяснении конкурсной документации, ответов на них, а также обобщенное изложение изменений и дополнений в конкурсной документации;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срок, в течение которого подписывается договор о закупках (но не более десяти рабочих дней со дня получения уведомления победителем конкурса);</w:t>
            </w:r>
          </w:p>
          <w:p>
            <w:pPr>
              <w:spacing w:after="20"/>
              <w:ind w:left="20"/>
              <w:jc w:val="both"/>
            </w:pPr>
            <w:r>
              <w:rPr>
                <w:rFonts w:ascii="Times New Roman"/>
                <w:b w:val="false"/>
                <w:i w:val="false"/>
                <w:color w:val="000000"/>
                <w:sz w:val="20"/>
              </w:rPr>
              <w:t>
</w:t>
            </w:r>
            <w:r>
              <w:rPr>
                <w:rFonts w:ascii="Times New Roman"/>
                <w:b w:val="false"/>
                <w:i w:val="false"/>
                <w:color w:val="000000"/>
                <w:sz w:val="20"/>
              </w:rPr>
              <w:t>12) информация о привлечении технических экспертов;</w:t>
            </w:r>
          </w:p>
          <w:p>
            <w:pPr>
              <w:spacing w:after="20"/>
              <w:ind w:left="20"/>
              <w:jc w:val="both"/>
            </w:pPr>
            <w:r>
              <w:rPr>
                <w:rFonts w:ascii="Times New Roman"/>
                <w:b w:val="false"/>
                <w:i w:val="false"/>
                <w:color w:val="000000"/>
                <w:sz w:val="20"/>
              </w:rPr>
              <w:t>
13) в случае, если конкурс состоялся, то сумма, выделенная субъектом естественной монополии на закупки данных товаров, работ, услуг, предусмотренная переченем закупаемых субъектом естественной монополии товаров, работ, услуг, затраты на которые учитываются при утверждении тарифа.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направлению посредством портала в течение трех рабочих дней со дня подведения итогов конкурса победителю конкурса уведомления и подписанного субъектом естественной монополии договора о закупках, соответствующий проекту договора в конкурсной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предоставлении по требованию участника конкурса исчерпывающей информации о результатах конкурса и причинах выбора победителя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закупок способом запроса ценовых предложений на однородные товары, работы, услуги, если годовые объемы таких однородных товаров, работ, услуг в стоимостном выражении не превышают четырехтысячекратного размера месячного расчетного показателя, установленного на соответствующий финансовый год. При этом решающим условием является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дробления годового объема закупок однородных видов товаров, работ, услуг в течение финансового года на части в целях применения способа выбора поставщика с использованием запроса ценовых предложений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портале, объявления о закупках способом запроса ценовых предложений и проекта договора, не менее чем за пять рабочих дней до окончания срока представления ценовых предложений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30"/>
          <w:p>
            <w:pPr>
              <w:spacing w:after="20"/>
              <w:ind w:left="20"/>
              <w:jc w:val="both"/>
            </w:pPr>
            <w:r>
              <w:rPr>
                <w:rFonts w:ascii="Times New Roman"/>
                <w:b w:val="false"/>
                <w:i w:val="false"/>
                <w:color w:val="000000"/>
                <w:sz w:val="20"/>
              </w:rPr>
              <w:t>
Соблюдение требований по отклонению ценового предложения потенциального поставщика, в случае если:</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оно превышает сумму, выделенную на закупки;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предлагаемые потенциальным поставщиком товары, работы, услуги не соответствуют требованиям технической спецификации субъекта естественной монополии;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оно не соответствует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потенциальный поставщик предоставил более одного ценового предложения;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потенциальный поставщик аффилирован с другими потенциальными поставщиками;</w:t>
            </w:r>
          </w:p>
          <w:p>
            <w:pPr>
              <w:spacing w:after="20"/>
              <w:ind w:left="20"/>
              <w:jc w:val="both"/>
            </w:pPr>
            <w:r>
              <w:rPr>
                <w:rFonts w:ascii="Times New Roman"/>
                <w:b w:val="false"/>
                <w:i w:val="false"/>
                <w:color w:val="000000"/>
                <w:sz w:val="20"/>
              </w:rPr>
              <w:t>
6) ценовое предложение потенциального поставщика признано демпинговым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31"/>
          <w:p>
            <w:pPr>
              <w:spacing w:after="20"/>
              <w:ind w:left="20"/>
              <w:jc w:val="both"/>
            </w:pPr>
            <w:r>
              <w:rPr>
                <w:rFonts w:ascii="Times New Roman"/>
                <w:b w:val="false"/>
                <w:i w:val="false"/>
                <w:color w:val="000000"/>
                <w:sz w:val="20"/>
              </w:rPr>
              <w:t>
Соблюдение требований по признанию закупок способом запроса ценовых предложений несостоявшимися в случае:</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1) представления менее двух ценовых предложений;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если после автоматического отклонения порталом ценовых предложений осталось менее двух ценовых предложений;</w:t>
            </w:r>
          </w:p>
          <w:p>
            <w:pPr>
              <w:spacing w:after="20"/>
              <w:ind w:left="20"/>
              <w:jc w:val="both"/>
            </w:pPr>
            <w:r>
              <w:rPr>
                <w:rFonts w:ascii="Times New Roman"/>
                <w:b w:val="false"/>
                <w:i w:val="false"/>
                <w:color w:val="000000"/>
                <w:sz w:val="20"/>
              </w:rPr>
              <w:t>
3) победитель и потенциальный поставщик, занявшие второе место, уклонились от заключения договора о закупках в не позднее пяти рабочих дней со дня получения уведомления о признании победителем закупок способом запроса ценовых предложений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32"/>
          <w:p>
            <w:pPr>
              <w:spacing w:after="20"/>
              <w:ind w:left="20"/>
              <w:jc w:val="both"/>
            </w:pPr>
            <w:r>
              <w:rPr>
                <w:rFonts w:ascii="Times New Roman"/>
                <w:b w:val="false"/>
                <w:i w:val="false"/>
                <w:color w:val="000000"/>
                <w:sz w:val="20"/>
              </w:rPr>
              <w:t>
Принятие одного из решений если закупки способом запроса ценовых предложений признаны автоматически порталом несостоявшимися:</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1) об изменении условий закупок и о проведении повторных закупок способом запроса ценовых предложений;</w:t>
            </w:r>
          </w:p>
          <w:p>
            <w:pPr>
              <w:spacing w:after="20"/>
              <w:ind w:left="20"/>
              <w:jc w:val="both"/>
            </w:pPr>
            <w:r>
              <w:rPr>
                <w:rFonts w:ascii="Times New Roman"/>
                <w:b w:val="false"/>
                <w:i w:val="false"/>
                <w:color w:val="000000"/>
                <w:sz w:val="20"/>
              </w:rPr>
              <w:t>
2) об осуществлении закупок способом из одного источника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33"/>
          <w:p>
            <w:pPr>
              <w:spacing w:after="20"/>
              <w:ind w:left="20"/>
              <w:jc w:val="both"/>
            </w:pPr>
            <w:r>
              <w:rPr>
                <w:rFonts w:ascii="Times New Roman"/>
                <w:b w:val="false"/>
                <w:i w:val="false"/>
                <w:color w:val="000000"/>
                <w:sz w:val="20"/>
              </w:rPr>
              <w:t>
Проведение закупок способом из одного источника посредством портала только в случаях:</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если закупки способом конкурса или запроса ценовых предложений признаны несостоявшимися;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приобретения товаров, работ, услуг по ценам, тарифам, на которые установлено государственное регулирование;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приобретения товаров, работ, услуг у лица, обладающего исключительными правами в отношении приобретаемых товаров, работ, услуг, или у лица, являющегося субъектом государственной или естественной монополии;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приобретения товаров, работ, услуг вследствие возникновения обстоятельств непреодолимой силы, в том числе локализации и (или) ликвидации последствий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приобретения товаров, работ, услуг, связанных с представительскими расходами;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приобретения периодических печатных изданий на бумажном носителе и (или) в электронной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приобретения имущества (активов), реализуемого на торгах (аукционах):</w:t>
            </w:r>
          </w:p>
          <w:p>
            <w:pPr>
              <w:spacing w:after="20"/>
              <w:ind w:left="20"/>
              <w:jc w:val="both"/>
            </w:pPr>
            <w:r>
              <w:rPr>
                <w:rFonts w:ascii="Times New Roman"/>
                <w:b w:val="false"/>
                <w:i w:val="false"/>
                <w:color w:val="000000"/>
                <w:sz w:val="20"/>
              </w:rPr>
              <w:t>
</w:t>
            </w:r>
            <w:r>
              <w:rPr>
                <w:rFonts w:ascii="Times New Roman"/>
                <w:b w:val="false"/>
                <w:i w:val="false"/>
                <w:color w:val="000000"/>
                <w:sz w:val="20"/>
              </w:rPr>
              <w:t>судебными исполнителями;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реабилитации и банкротстве;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приватизации государственного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приобретения однородных товаров, работ, услуг, если годовой объем таких однородных товаров, работ, услуг в стоимостном выражении не превышает стократного размера месячного расчетного показателя;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приобретения услуг, связанных с направлением работника в служебную командировку, включая проезд к месту проведения указанных мероприятий и обратно, наем жилого помещения, транспортное обслуживание, обеспечение питания;</w:t>
            </w:r>
          </w:p>
          <w:p>
            <w:pPr>
              <w:spacing w:after="20"/>
              <w:ind w:left="20"/>
              <w:jc w:val="both"/>
            </w:pPr>
            <w:r>
              <w:rPr>
                <w:rFonts w:ascii="Times New Roman"/>
                <w:b w:val="false"/>
                <w:i w:val="false"/>
                <w:color w:val="000000"/>
                <w:sz w:val="20"/>
              </w:rPr>
              <w:t>
10) когда у субъекта естественной монополии, закупившего товары, работы, услуги поставщика, возникает потребность в приобретении товаров, работ, услуг у того же поставщика в целях унификации, стандартизации или обеспечения совместимости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мониторинга отчетности и сведений, представляемых субъектом (объектом) контроля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34"/>
          <w:p>
            <w:pPr>
              <w:spacing w:after="20"/>
              <w:ind w:left="20"/>
              <w:jc w:val="both"/>
            </w:pPr>
            <w:r>
              <w:rPr>
                <w:rFonts w:ascii="Times New Roman"/>
                <w:b w:val="false"/>
                <w:i w:val="false"/>
                <w:color w:val="000000"/>
                <w:sz w:val="20"/>
              </w:rPr>
              <w:t>
Предоставление в уполномоченный орган ежегодно не позднее 1 мая года, следующего за отчетным периодом, отчетов об исполнении утвержденной тарифной сметы с приложением материалов за предыдущий календарный год:</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пояснительная записка об исполнении тарифной сметы с объяснением причин ее неисполнения;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отчет о прибылях и убытках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реализации смет затрат, направленных на ремонт, не приводящий к росту стоимости основных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материалы, подтверждающие фактические затраты субъекта по тарифной смете (копии договоров, актов выполненных работ, накладных, счетов-фактур,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материалы, подтверждающие постатейную экономию затрат с приложением материалов, подтверждающих фактическое использование указанной экономии, и (или) сокращения объемов предоставляемых регулируемых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письмо местного исполнительного органа с информацией о внедрении субъектом более эффективных методов и технологий предоставления регулируемых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протоколы конкурсных (тендерных) комиссий;</w:t>
            </w:r>
          </w:p>
          <w:p>
            <w:pPr>
              <w:spacing w:after="20"/>
              <w:ind w:left="20"/>
              <w:jc w:val="both"/>
            </w:pPr>
            <w:r>
              <w:rPr>
                <w:rFonts w:ascii="Times New Roman"/>
                <w:b w:val="false"/>
                <w:i w:val="false"/>
                <w:color w:val="000000"/>
                <w:sz w:val="20"/>
              </w:rPr>
              <w:t>
</w:t>
            </w:r>
            <w:r>
              <w:rPr>
                <w:rFonts w:ascii="Times New Roman"/>
                <w:b w:val="false"/>
                <w:i w:val="false"/>
                <w:color w:val="000000"/>
                <w:sz w:val="20"/>
              </w:rPr>
              <w:t>акты сверок с потребителями объемов предоставленных регулируемых услуг и выставленные счет-фактуры к оплате, за исключением сельхозтоваропроизводителей (СХТП), по которым предоставляется реестр объемов потребления регулируемых услуг с указанием объемов и сумм к оплате;</w:t>
            </w:r>
          </w:p>
          <w:p>
            <w:pPr>
              <w:spacing w:after="20"/>
              <w:ind w:left="20"/>
              <w:jc w:val="both"/>
            </w:pPr>
            <w:r>
              <w:rPr>
                <w:rFonts w:ascii="Times New Roman"/>
                <w:b w:val="false"/>
                <w:i w:val="false"/>
                <w:color w:val="000000"/>
                <w:sz w:val="20"/>
              </w:rPr>
              <w:t>
</w:t>
            </w:r>
            <w:r>
              <w:rPr>
                <w:rFonts w:ascii="Times New Roman"/>
                <w:b w:val="false"/>
                <w:i w:val="false"/>
                <w:color w:val="000000"/>
                <w:sz w:val="20"/>
              </w:rPr>
              <w:t>письмо местного исполнительного органа с информацией о фактических объемах предоставленных регулируемых услуг;</w:t>
            </w:r>
          </w:p>
          <w:p>
            <w:pPr>
              <w:spacing w:after="20"/>
              <w:ind w:left="20"/>
              <w:jc w:val="both"/>
            </w:pPr>
            <w:r>
              <w:rPr>
                <w:rFonts w:ascii="Times New Roman"/>
                <w:b w:val="false"/>
                <w:i w:val="false"/>
                <w:color w:val="000000"/>
                <w:sz w:val="20"/>
              </w:rPr>
              <w:t>
6) отчетность по формам,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35"/>
          <w:p>
            <w:pPr>
              <w:spacing w:after="20"/>
              <w:ind w:left="20"/>
              <w:jc w:val="both"/>
            </w:pPr>
            <w:r>
              <w:rPr>
                <w:rFonts w:ascii="Times New Roman"/>
                <w:b w:val="false"/>
                <w:i w:val="false"/>
                <w:color w:val="000000"/>
                <w:sz w:val="20"/>
              </w:rPr>
              <w:t>
Предоставление в уполномоченный орган ежегодно не позднее 1 мая года, следующего за отчетным периодом, отчетов об исполнении утвержденной инвестиционной программы с приложением:</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информация о плановых и фактических объемах предоставляемых регулируемых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2) отчет о прибылях и убытках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информация о фактических условиях и размерах финансирования инвестиционной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информация о сопоставлении фактических показателей исполнения инвестиционной программы с показателями, утвержденными в инвестиционной программе в соответствии с перечнем целевых показателей;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разъяснения причин отклонения достигнутых фактических показателей от показателей в утвержденной инвестиционной программе;</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материалы, подтверждающие фактическое исполнение мероприятий инвестиционной программы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p>
            <w:pPr>
              <w:spacing w:after="20"/>
              <w:ind w:left="20"/>
              <w:jc w:val="both"/>
            </w:pPr>
            <w:r>
              <w:rPr>
                <w:rFonts w:ascii="Times New Roman"/>
                <w:b w:val="false"/>
                <w:i w:val="false"/>
                <w:color w:val="000000"/>
                <w:sz w:val="20"/>
              </w:rPr>
              <w:t>
7) заключение по итогам проведения общественного мониторинга и (или) технической экспертизы исполнения утвержденной инвестиционной программы.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не позднее 1 августа текущего календарного года и 1 мая следующего календарного года отчетов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 не позднее пяти календарных дней со дня проведения отчета в средствах массовой информации, в том числе на своем интернет-ресурсе либо интернет-ресурсе уполномоченного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по требованию потребителей информации о тарифе, об условиях предоставления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не позднее 1 августа текущего календарного года и 1 мая следующего календарного года проводить отчеты по итогам полугодия и года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Информирование уполномоченного органа о тарифе, его изменении не позднее, чем за тридцать календарных дней до введения его в действие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субъектом естественной монополии: созданного впервые; оказывающего новую регулируемую услугу (новые регулируемые услуги); в случае приобретения (строительства) новых объектов и (или) участков, если действующий тариф утвержден раздельно по объектам и (или) участкам; субъекта естественной монополии малой мощности заявки на утверждение тарифа с применением затратного метода тарифного регулирования по истечении срока действия тарифа, утвержденного в упрощенном порядке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переданного (направленного) уведомления об осуществлении субъектом естественной монополии деятельности, не относящейся к регулируемым услугам в уполномоченный орган в срок не позднее десяти рабочих дней со дня осуществления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включение в тариф затрат, не связанных с предоставлением регулируемой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разработанной и утвержденной методики ведения раздельного учета доходов, затрат и задействованных активов по каждому виду регулируемых услуг субъектов естественных монополий в соответствии с порядком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утвержденной тарифной сметы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мероприятий утвержденной инвестиционной программы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с уполномоченным органом договора доверительного управления по передаче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собственности у субъекта естественных монополий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с уполномоченным органом договор доверительного управления имуществом, используемым в технологическом цикле при предоставлении регулируемых услуг, находящимся в собственности у субъекта естественных монополий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с уполномоченным органом кредитные соглашения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36"/>
          <w:p>
            <w:pPr>
              <w:spacing w:after="20"/>
              <w:ind w:left="20"/>
              <w:jc w:val="both"/>
            </w:pPr>
            <w:r>
              <w:rPr>
                <w:rFonts w:ascii="Times New Roman"/>
                <w:b w:val="false"/>
                <w:i w:val="false"/>
                <w:color w:val="000000"/>
                <w:sz w:val="20"/>
              </w:rPr>
              <w:t xml:space="preserve">
Информирование уполномоченного органа за месяц до проведения отчета перед потребителями и иными заинтересованными лицами: </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отчеты субъекта естественной монополии перед потребителями и иными заинтересованными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об исполнении утвержденной тарифной сметы;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об исполнении утвержденной инвестиционной программы; </w:t>
            </w:r>
          </w:p>
          <w:p>
            <w:pPr>
              <w:spacing w:after="20"/>
              <w:ind w:left="20"/>
              <w:jc w:val="both"/>
            </w:pPr>
            <w:r>
              <w:rPr>
                <w:rFonts w:ascii="Times New Roman"/>
                <w:b w:val="false"/>
                <w:i w:val="false"/>
                <w:color w:val="000000"/>
                <w:sz w:val="20"/>
              </w:rPr>
              <w:t>
</w:t>
            </w:r>
            <w:r>
              <w:rPr>
                <w:rFonts w:ascii="Times New Roman"/>
                <w:b w:val="false"/>
                <w:i w:val="false"/>
                <w:color w:val="000000"/>
                <w:sz w:val="20"/>
              </w:rPr>
              <w:t>о соблюдении показателей качества и надежности регулируемых услуг;</w:t>
            </w:r>
          </w:p>
          <w:p>
            <w:pPr>
              <w:spacing w:after="20"/>
              <w:ind w:left="20"/>
              <w:jc w:val="both"/>
            </w:pPr>
            <w:r>
              <w:rPr>
                <w:rFonts w:ascii="Times New Roman"/>
                <w:b w:val="false"/>
                <w:i w:val="false"/>
                <w:color w:val="000000"/>
                <w:sz w:val="20"/>
              </w:rPr>
              <w:t>
о достижении показателей эффективности деятельности субъектов естественных монополий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направленной информации в уполномоченный орган субъектом естественной монополии малой мощности до реорганизации или ликвидации не менее чем за десять календарных дней о своем намерении совершить указанные 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по требованию потребителей информации, содержащейся в утвержденных тарифной смете и инвестиционной программе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ежегодно, в срок до 31 декабря для сведения уполномоченному органу перечня закупаемых субъектом естественной монополии товаров, работ и услуг, затраты на которые учитываются при утверждении тарифа с применением затратного метода тарифного регулирования на следующий календарный год, утвержденного приказом первого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передачи информации, сведений о закупках, товарах, работ и услугах, осуществляемых в цифровых системах электронных закупок, интегрированной с цифровой системой Национальной палаты предпринимателей Республики Казахстан и (или) цифровой системой уполномоченного органа в сфере государственных закупок (Единая платформа закупок) в целях формирования единой точки доступа к информации по закупкам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37"/>
          <w:p>
            <w:pPr>
              <w:spacing w:after="20"/>
              <w:ind w:left="20"/>
              <w:jc w:val="both"/>
            </w:pPr>
            <w:r>
              <w:rPr>
                <w:rFonts w:ascii="Times New Roman"/>
                <w:b w:val="false"/>
                <w:i w:val="false"/>
                <w:color w:val="000000"/>
                <w:sz w:val="20"/>
              </w:rPr>
              <w:t>
Не учитывание в затратной части тарифа следующих расходов:</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1) на сверхнормативные технические и коммерческие потери, порчу и недостачи товарно-материальных ценностей и запасы на складах, другие непроизводительные расходы и потери;</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амортизационные отчисления основных средств, не используемых при предоставлении регулируемых услуг, либо не находящихся на балансе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 плату за пользование основными средствами (кроме основных средств общехозяйственного назначения), полученными в аренду, доверительное управление или в имущественный наем, выплаты по операционному лизингу,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на содержание и ремонт основных средств, не находящихся на балансе субъекта, за исключением содержания и ремонта основных средств, полученных в пользование для предоставления регулируемых услуг на основании договора доверительного управления государственным имуществом от местных исполнительных органов, Этапы включения затрат на содержание и ремонт определяются уполномоченном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платежи за сверхнормативные выбросы (сбросы) загрязняющих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судебные издержки;</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безнадежная задолженность;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8) штрафы, пени, неустойки и другие виды санкций за нарушение условий хозяйственных договоров;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9) штрафы и пени за сокрытие (занижение) дохода;</w:t>
            </w:r>
          </w:p>
          <w:p>
            <w:pPr>
              <w:spacing w:after="20"/>
              <w:ind w:left="20"/>
              <w:jc w:val="both"/>
            </w:pPr>
            <w:r>
              <w:rPr>
                <w:rFonts w:ascii="Times New Roman"/>
                <w:b w:val="false"/>
                <w:i w:val="false"/>
                <w:color w:val="000000"/>
                <w:sz w:val="20"/>
              </w:rPr>
              <w:t>
</w:t>
            </w:r>
            <w:r>
              <w:rPr>
                <w:rFonts w:ascii="Times New Roman"/>
                <w:b w:val="false"/>
                <w:i w:val="false"/>
                <w:color w:val="000000"/>
                <w:sz w:val="20"/>
              </w:rPr>
              <w:t>10) убытки от хищений;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11) потери от брака используемых для предоставления регулируемой услуги основных средств,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12) по содержанию обслуживающих производств и хозяйств (бесплатное предоставление помещений, оплата стоимости коммунальных услуг организациям общественного питания);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13) на содержание объектов здравоохранения, детских дошкольных учреждений, учебных заведений, профессионально технических училищ, кроме технологически необходимых, согласованных с компетентным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14) на содержание оздоровительных лагерей, объектов культуры и спорта, жилого фонда;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на проведение культурно-просветительных, оздоровительных и спортивных мероприятий (проведение вечеров отдыха, спектаклей, концертов);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16) на погашение ссуд (включая беспроцентные), выданных работникам предприятий на улучшение жилищных условий, приобретение садовых домиков и обзаведение домашним хозяйством;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17) по благоустройству садовых товариществ (в том числе, строительство дорог, энерго- и водоснабжение, осуществление других расходов общего характера);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18) на проведение и организацию лекций, выставок, диспутов, встреч с деятелями науки и искусства, научно технических конференций, членские взносы в общественные организации и ассоциации;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19) по рекламе в средствах массовой информации, по изданию рекламной, плакатной и типографской продукции, за исключением продукции, используемой в производственных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20) на приобретение, аренду и содержание квартир, жилых зданий и сооружений, мест в общежитиях и гостиницах для персонала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21) на выполнение работ по благоустройству города, предоставлению помощи сельскому хозяйству и другие подобного рода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22) на оплату отпусков работникам, обучающихся в организации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на премирование и другие формы вознаграждения по итогам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24) по оплате путевок работникам и их детям на лечение, отдых, экскурсии за счет средств субъекта, кроме затрат, связанных с реабилитационным лечением профзаболеваний;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по оплате услуг поликлиник по договорам, заключенным с органами здравоохранения на предоставление своим работникам медицинской помощи; 26) страховые платежи (взносы, уплачиваемые предприятиями по договорам личного и имущественного страхования, заключенных предприятиями в пользу своих работников);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27) по оплате дополнительно предоставленных (сверх предусмотренного законодательством) отпусков работникам, в том числе женщинам, воспитывающим детей, оплата проезда членов семьи работника к месту использования отпуска и обратно, а также компенсация за неиспользованный отпуск;</w:t>
            </w:r>
          </w:p>
          <w:p>
            <w:pPr>
              <w:spacing w:after="20"/>
              <w:ind w:left="20"/>
              <w:jc w:val="both"/>
            </w:pPr>
            <w:r>
              <w:rPr>
                <w:rFonts w:ascii="Times New Roman"/>
                <w:b w:val="false"/>
                <w:i w:val="false"/>
                <w:color w:val="000000"/>
                <w:sz w:val="20"/>
              </w:rPr>
              <w:t>
</w:t>
            </w:r>
            <w:r>
              <w:rPr>
                <w:rFonts w:ascii="Times New Roman"/>
                <w:b w:val="false"/>
                <w:i w:val="false"/>
                <w:color w:val="000000"/>
                <w:sz w:val="20"/>
              </w:rPr>
              <w:t>28) на предоставление всех видов спонсорской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29) льготы работникам субъекта (предоставление питания работникам бесплатно или по сниженным ценам, оплата абонементов в группы здоровья, занятий в секциях, клубах, протезирование);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30) на приобретение подарков на юбилейные даты или выдаваемые в виде поощрения работникам (включая автомашины, квартиры, предметы длительного пользования, а также увеличение процентных ставок лицевых счетов работников);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 компенсацию стоимости питания детям, находящимся в дошкольных учреждениях, санаториях и оздоровительных лагерях;</w:t>
            </w:r>
          </w:p>
          <w:p>
            <w:pPr>
              <w:spacing w:after="20"/>
              <w:ind w:left="20"/>
              <w:jc w:val="both"/>
            </w:pPr>
            <w:r>
              <w:rPr>
                <w:rFonts w:ascii="Times New Roman"/>
                <w:b w:val="false"/>
                <w:i w:val="false"/>
                <w:color w:val="000000"/>
                <w:sz w:val="20"/>
              </w:rPr>
              <w:t>
</w:t>
            </w:r>
            <w:r>
              <w:rPr>
                <w:rFonts w:ascii="Times New Roman"/>
                <w:b w:val="false"/>
                <w:i w:val="false"/>
                <w:color w:val="000000"/>
                <w:sz w:val="20"/>
              </w:rPr>
              <w:t>32) на услуги банков и организации, осуществляющих отдельные виды банковских операций по приему коммунальных платежей от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33) отчисления профсоюзам на цели, определенные коллективным договором;</w:t>
            </w:r>
          </w:p>
          <w:p>
            <w:pPr>
              <w:spacing w:after="20"/>
              <w:ind w:left="20"/>
              <w:jc w:val="both"/>
            </w:pPr>
            <w:r>
              <w:rPr>
                <w:rFonts w:ascii="Times New Roman"/>
                <w:b w:val="false"/>
                <w:i w:val="false"/>
                <w:color w:val="000000"/>
                <w:sz w:val="20"/>
              </w:rPr>
              <w:t>
</w:t>
            </w:r>
            <w:r>
              <w:rPr>
                <w:rFonts w:ascii="Times New Roman"/>
                <w:b w:val="false"/>
                <w:i w:val="false"/>
                <w:color w:val="000000"/>
                <w:sz w:val="20"/>
              </w:rPr>
              <w:t>34) связанные с проведением опытно-экспериментальных работ, изготовлением и испытанием моделей и образцов по изобретениям и рационализаторским предложениям (за исключением работ, применяющихся в представлении регулируемых услуг, организацией выставок, смотров, конкурсов и других мероприятий по изобретательству и рационализации, выплаты авторских вознаграждений и другие;</w:t>
            </w:r>
          </w:p>
          <w:p>
            <w:pPr>
              <w:spacing w:after="20"/>
              <w:ind w:left="20"/>
              <w:jc w:val="both"/>
            </w:pPr>
            <w:r>
              <w:rPr>
                <w:rFonts w:ascii="Times New Roman"/>
                <w:b w:val="false"/>
                <w:i w:val="false"/>
                <w:color w:val="000000"/>
                <w:sz w:val="20"/>
              </w:rPr>
              <w:t>
35) расходы, не относящиеся к производству и предоставлению регулируемых услуг и приводящие к росту тарифов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утверждении тарифа с применением стимулирующего метода тарифного регулирования ежегодно в срок не позднее 1 мая отчетного периода представлять в уполномоченный орган, иной государственный орган либо местный исполнительный орган отчеты о фактически достигнутых за отчетный год доходах, расходах, соблюдении показателей качества и надежности регулируемых услуг, достижении показателей эффективности деятельности субъектов естественных монополий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анализа официальных интернет-ресурсов и средств массовой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не позднее 1 августа текущего календарного года и 1 мая следующего календарного года в средствах массовой информации, распространяемых на территории соответствующей административно-территориальной единицы, отчетов перед потребителями и иными заинтересованными лицами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с обоснованиями, в том числе финансовую отчетность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38"/>
          <w:p>
            <w:pPr>
              <w:spacing w:after="20"/>
              <w:ind w:left="20"/>
              <w:jc w:val="both"/>
            </w:pPr>
            <w:r>
              <w:rPr>
                <w:rFonts w:ascii="Times New Roman"/>
                <w:b w:val="false"/>
                <w:i w:val="false"/>
                <w:color w:val="000000"/>
                <w:sz w:val="20"/>
              </w:rPr>
              <w:t>
Соблюдение требований после опубликования в периодическом печатном издании объявления о дате и месте проведения публичных слушаний представить по требованию участников публичных слушаний:</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1) проекты тарифа и тарифной сметы;</w:t>
            </w:r>
          </w:p>
          <w:p>
            <w:pPr>
              <w:spacing w:after="20"/>
              <w:ind w:left="20"/>
              <w:jc w:val="both"/>
            </w:pPr>
            <w:r>
              <w:rPr>
                <w:rFonts w:ascii="Times New Roman"/>
                <w:b w:val="false"/>
                <w:i w:val="false"/>
                <w:color w:val="000000"/>
                <w:sz w:val="20"/>
              </w:rPr>
              <w:t>
2) информацию о причинах изменения тарифа с экономически обоснованными расчетами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объявления о предстоящем проведении отчета субъектом естественной монополии, включенным в местный раздел Государственного регистра субъектов естественных монополий, в периодическом печатном издании, выпускаемом не реже одного раза в неделю и распространяемом на территории соответствующей административно-территориальной единицы, а субъектом естественной монополии, включенным в республиканский раздел Государственного регистра субъектов естественных монополий, – в периодическом печатном издании, выпускаемом не реже одного раза в неделю и распространяемом на всей территории Республики Казахстан, не позднее, чем за пятнадцать рабочих дней до его проведения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39"/>
          <w:p>
            <w:pPr>
              <w:spacing w:after="20"/>
              <w:ind w:left="20"/>
              <w:jc w:val="both"/>
            </w:pPr>
            <w:r>
              <w:rPr>
                <w:rFonts w:ascii="Times New Roman"/>
                <w:b w:val="false"/>
                <w:i w:val="false"/>
                <w:color w:val="000000"/>
                <w:sz w:val="20"/>
              </w:rPr>
              <w:t>
Размещение ежеквартально на своем интернет-ресурсе либо в случае его отсутствия представление уполномоченному органу для размещения на его интернет-ресурсе:</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информацию о резерве, наличии свободных и доступных мощностей, емкостей, мест, пропускных способностей сетей субъекта естественной монополии;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и регулируемых услуг;</w:t>
            </w:r>
          </w:p>
          <w:p>
            <w:pPr>
              <w:spacing w:after="20"/>
              <w:ind w:left="20"/>
              <w:jc w:val="both"/>
            </w:pPr>
            <w:r>
              <w:rPr>
                <w:rFonts w:ascii="Times New Roman"/>
                <w:b w:val="false"/>
                <w:i w:val="false"/>
                <w:color w:val="000000"/>
                <w:sz w:val="20"/>
              </w:rPr>
              <w:t>
3) 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Критериям оценки степени риска субъектам естественных монополий, осуществляющим услуги подачи воды по каналам, подачи воды для орошения и регулирования поверхностного стока при помощи подпорных гидротехнических сооружений</w:t>
            </w:r>
          </w:p>
        </w:tc>
      </w:tr>
    </w:tbl>
    <w:p>
      <w:pPr>
        <w:spacing w:after="0"/>
        <w:ind w:left="0"/>
        <w:jc w:val="both"/>
      </w:pPr>
      <w:r>
        <w:rPr>
          <w:rFonts w:ascii="Times New Roman"/>
          <w:b w:val="false"/>
          <w:i w:val="false"/>
          <w:color w:val="ff0000"/>
          <w:sz w:val="28"/>
        </w:rPr>
        <w:t xml:space="preserve">
      Сноска. Правый верхний угол приложения 2 – в редакции совместного приказа и.о. Министра водных ресурсов и ирригации РК от 03.07.2025 </w:t>
      </w:r>
      <w:r>
        <w:rPr>
          <w:rFonts w:ascii="Times New Roman"/>
          <w:b w:val="false"/>
          <w:i w:val="false"/>
          <w:color w:val="ff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w:t>
      </w:r>
    </w:p>
    <w:bookmarkStart w:name="z274" w:id="140"/>
    <w:p>
      <w:pPr>
        <w:spacing w:after="0"/>
        <w:ind w:left="0"/>
        <w:jc w:val="left"/>
      </w:pPr>
      <w:r>
        <w:rPr>
          <w:rFonts w:ascii="Times New Roman"/>
          <w:b/>
          <w:i w:val="false"/>
          <w:color w:val="000000"/>
        </w:rPr>
        <w:t xml:space="preserve"> Перечень субъективных критериев для определения степени риска по субъективным критериям</w:t>
      </w:r>
    </w:p>
    <w:bookmarkEnd w:id="140"/>
    <w:bookmarkStart w:name="z275" w:id="141"/>
    <w:p>
      <w:pPr>
        <w:spacing w:after="0"/>
        <w:ind w:left="0"/>
        <w:jc w:val="left"/>
      </w:pPr>
      <w:r>
        <w:rPr>
          <w:rFonts w:ascii="Times New Roman"/>
          <w:b/>
          <w:i w:val="false"/>
          <w:color w:val="000000"/>
        </w:rPr>
        <w:t xml:space="preserve"> В сферах естественных монополий ______________________________________</w:t>
      </w:r>
    </w:p>
    <w:bookmarkEnd w:id="141"/>
    <w:bookmarkStart w:name="z276" w:id="142"/>
    <w:p>
      <w:pPr>
        <w:spacing w:after="0"/>
        <w:ind w:left="0"/>
        <w:jc w:val="left"/>
      </w:pPr>
      <w:r>
        <w:rPr>
          <w:rFonts w:ascii="Times New Roman"/>
          <w:b/>
          <w:i w:val="false"/>
          <w:color w:val="000000"/>
        </w:rPr>
        <w:t xml:space="preserve"> в соответствии со </w:t>
      </w:r>
      <w:r>
        <w:rPr>
          <w:rFonts w:ascii="Times New Roman"/>
          <w:b/>
          <w:i w:val="false"/>
          <w:color w:val="000000"/>
        </w:rPr>
        <w:t>статьей 138</w:t>
      </w:r>
      <w:r>
        <w:rPr>
          <w:rFonts w:ascii="Times New Roman"/>
          <w:b/>
          <w:i w:val="false"/>
          <w:color w:val="000000"/>
        </w:rPr>
        <w:t xml:space="preserve"> Предпринимательского кодекса Республики Казахстан</w:t>
      </w:r>
    </w:p>
    <w:bookmarkEnd w:id="142"/>
    <w:bookmarkStart w:name="z277" w:id="143"/>
    <w:p>
      <w:pPr>
        <w:spacing w:after="0"/>
        <w:ind w:left="0"/>
        <w:jc w:val="left"/>
      </w:pPr>
      <w:r>
        <w:rPr>
          <w:rFonts w:ascii="Times New Roman"/>
          <w:b/>
          <w:i w:val="false"/>
          <w:color w:val="000000"/>
        </w:rPr>
        <w:t xml:space="preserve"> в отношении_____________________________________________________</w:t>
      </w:r>
    </w:p>
    <w:bookmarkEnd w:id="143"/>
    <w:bookmarkStart w:name="z278" w:id="144"/>
    <w:p>
      <w:pPr>
        <w:spacing w:after="0"/>
        <w:ind w:left="0"/>
        <w:jc w:val="left"/>
      </w:pPr>
      <w:r>
        <w:rPr>
          <w:rFonts w:ascii="Times New Roman"/>
          <w:b/>
          <w:i w:val="false"/>
          <w:color w:val="000000"/>
        </w:rPr>
        <w:t xml:space="preserve"> наименование однородной группы субъектов (объектов) контроля</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субъективного критерия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по показателю субъективного критерия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по значимости, балл (в сумме не должен превышать 100 баллов), w</w:t>
            </w:r>
            <w:r>
              <w:rPr>
                <w:rFonts w:ascii="Times New Roman"/>
                <w:b w:val="false"/>
                <w:i w:val="false"/>
                <w:color w:val="000000"/>
                <w:vertAlign w:val="subscript"/>
              </w:rPr>
              <w:t>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/значения, х</w:t>
            </w:r>
            <w:r>
              <w:rPr>
                <w:rFonts w:ascii="Times New Roman"/>
                <w:b w:val="false"/>
                <w:i w:val="false"/>
                <w:color w:val="000000"/>
                <w:vertAlign w:val="subscript"/>
              </w:rPr>
              <w:t>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1/значение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2/значение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3/значение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профилактического контроля с посещением</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в уполномоченный орган с заявкой для утверждения тарифа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мониторинга отчетности и сведений, представляемых субъектом (объектом) контроля, проводимого уполномоченным органом и (или) другими государственными органами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обратился в уполномоченный орган с заявкой для утверждения тарифа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в уполномоченный орган ежегодно не позднее 1 мая года, следующего за отчетным периодом, отчетов об исполнении утвержденной тарифной сметы, об исполнении утвержденной инвестиционной программы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мониторинга отчетности и сведений, представляемых субъектом (объектом) контроля, проводимого уполномоченным органом и (или) другими государственными органами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срока предоставления в уполномоченный орган отчетов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срока предоставления в уполномоченный орган отчетов 2 и более раз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переданного (направленного) уведомления об осуществлении субъектом естественной монополии деятельности, не относящейся к регулируемым услугам в уполномоченный орган в срок не позднее десяти рабочих дней со дня осуществления деятельности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анализа официальных интернет-ресурсов государственных органов и средств массовой информации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уведомления с нарушением срока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уведомления об осуществлении деятельности не относящейся к регулируемым услугам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279" w:id="145"/>
    <w:p>
      <w:pPr>
        <w:spacing w:after="0"/>
        <w:ind w:left="0"/>
        <w:jc w:val="both"/>
      </w:pPr>
      <w:r>
        <w:rPr>
          <w:rFonts w:ascii="Times New Roman"/>
          <w:b w:val="false"/>
          <w:i w:val="false"/>
          <w:color w:val="000000"/>
          <w:sz w:val="28"/>
        </w:rPr>
        <w:t>
      Инструкция по заполнению шаблона:</w:t>
      </w:r>
    </w:p>
    <w:bookmarkEnd w:id="145"/>
    <w:bookmarkStart w:name="z280" w:id="146"/>
    <w:p>
      <w:pPr>
        <w:spacing w:after="0"/>
        <w:ind w:left="0"/>
        <w:jc w:val="both"/>
      </w:pPr>
      <w:r>
        <w:rPr>
          <w:rFonts w:ascii="Times New Roman"/>
          <w:b w:val="false"/>
          <w:i w:val="false"/>
          <w:color w:val="000000"/>
          <w:sz w:val="28"/>
        </w:rPr>
        <w:t>
      1) Показатели субъективных критериев определяются для однородных групп субъектов (объектов) контроля сфере государственного контроля.</w:t>
      </w:r>
    </w:p>
    <w:bookmarkEnd w:id="146"/>
    <w:bookmarkStart w:name="z281" w:id="147"/>
    <w:p>
      <w:pPr>
        <w:spacing w:after="0"/>
        <w:ind w:left="0"/>
        <w:jc w:val="both"/>
      </w:pPr>
      <w:r>
        <w:rPr>
          <w:rFonts w:ascii="Times New Roman"/>
          <w:b w:val="false"/>
          <w:i w:val="false"/>
          <w:color w:val="000000"/>
          <w:sz w:val="28"/>
        </w:rPr>
        <w:t>
      2) В графе 2 указывается показатель субъективного критерия.</w:t>
      </w:r>
    </w:p>
    <w:bookmarkEnd w:id="147"/>
    <w:bookmarkStart w:name="z282" w:id="148"/>
    <w:p>
      <w:pPr>
        <w:spacing w:after="0"/>
        <w:ind w:left="0"/>
        <w:jc w:val="both"/>
      </w:pPr>
      <w:r>
        <w:rPr>
          <w:rFonts w:ascii="Times New Roman"/>
          <w:b w:val="false"/>
          <w:i w:val="false"/>
          <w:color w:val="000000"/>
          <w:sz w:val="28"/>
        </w:rPr>
        <w:t>
      3) В графе 3 указываются приоритетные источники информации.</w:t>
      </w:r>
    </w:p>
    <w:bookmarkEnd w:id="148"/>
    <w:bookmarkStart w:name="z283" w:id="149"/>
    <w:p>
      <w:pPr>
        <w:spacing w:after="0"/>
        <w:ind w:left="0"/>
        <w:jc w:val="both"/>
      </w:pPr>
      <w:r>
        <w:rPr>
          <w:rFonts w:ascii="Times New Roman"/>
          <w:b w:val="false"/>
          <w:i w:val="false"/>
          <w:color w:val="000000"/>
          <w:sz w:val="28"/>
        </w:rPr>
        <w:t>
      4) В графе 4 указывается удельный вес по значимости показателя субъективного критерия в баллах. Сумма всех строк по данной графе не должно превышать 100 баллов.</w:t>
      </w:r>
    </w:p>
    <w:bookmarkEnd w:id="149"/>
    <w:bookmarkStart w:name="z284" w:id="150"/>
    <w:p>
      <w:pPr>
        <w:spacing w:after="0"/>
        <w:ind w:left="0"/>
        <w:jc w:val="both"/>
      </w:pPr>
      <w:r>
        <w:rPr>
          <w:rFonts w:ascii="Times New Roman"/>
          <w:b w:val="false"/>
          <w:i w:val="false"/>
          <w:color w:val="000000"/>
          <w:sz w:val="28"/>
        </w:rPr>
        <w:t>
      5)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 соответствующие каждому условию. Числовые значения указываются в процентах от 0 до 100, в зависимости от повышения риска. Допустимые значения показателей субъективных критериев регламентируются нормативными правовыми актами Республики Казахстан.</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совместному приказу</w:t>
            </w:r>
          </w:p>
        </w:tc>
      </w:tr>
    </w:tbl>
    <w:bookmarkStart w:name="z286" w:id="151"/>
    <w:p>
      <w:pPr>
        <w:spacing w:after="0"/>
        <w:ind w:left="0"/>
        <w:jc w:val="left"/>
      </w:pPr>
      <w:r>
        <w:rPr>
          <w:rFonts w:ascii="Times New Roman"/>
          <w:b/>
          <w:i w:val="false"/>
          <w:color w:val="000000"/>
        </w:rPr>
        <w:t xml:space="preserve"> Проверочный лист в сфере естественных монополии по услугам подачи воды по каналам, подачи воды для орошения и регулирования поверхностного стока при помощи подпорных гидротехнических сооружений (в соответствии со </w:t>
      </w:r>
      <w:r>
        <w:rPr>
          <w:rFonts w:ascii="Times New Roman"/>
          <w:b/>
          <w:i w:val="false"/>
          <w:color w:val="000000"/>
        </w:rPr>
        <w:t>статьей 138</w:t>
      </w:r>
      <w:r>
        <w:rPr>
          <w:rFonts w:ascii="Times New Roman"/>
          <w:b/>
          <w:i w:val="false"/>
          <w:color w:val="000000"/>
        </w:rPr>
        <w:t xml:space="preserve"> Предпринимательского кодекса Республики Казахстан) </w:t>
      </w:r>
    </w:p>
    <w:bookmarkEnd w:id="151"/>
    <w:p>
      <w:pPr>
        <w:spacing w:after="0"/>
        <w:ind w:left="0"/>
        <w:jc w:val="both"/>
      </w:pPr>
      <w:r>
        <w:rPr>
          <w:rFonts w:ascii="Times New Roman"/>
          <w:b w:val="false"/>
          <w:i w:val="false"/>
          <w:color w:val="ff0000"/>
          <w:sz w:val="28"/>
        </w:rPr>
        <w:t xml:space="preserve">
      Сноска. Проверочный лист с изменениями, внесенными совместным приказом и.о. Министра водных ресурсов и ирригации РК от 03.07.2025 </w:t>
      </w:r>
      <w:r>
        <w:rPr>
          <w:rFonts w:ascii="Times New Roman"/>
          <w:b w:val="false"/>
          <w:i w:val="false"/>
          <w:color w:val="ff0000"/>
          <w:sz w:val="28"/>
        </w:rPr>
        <w:t>№ 167-НҚ</w:t>
      </w:r>
      <w:r>
        <w:rPr>
          <w:rFonts w:ascii="Times New Roman"/>
          <w:b w:val="false"/>
          <w:i w:val="false"/>
          <w:color w:val="ff0000"/>
          <w:sz w:val="28"/>
        </w:rPr>
        <w:t xml:space="preserve"> и и.о. Министра национальной экономики РК от 11.07.2025 № 66 (вводится в действие по истечении десяти календарных дней после дня его первого официального опубликования); совместным приказом Министра водных ресурсов и ирригации РК от 30.07.2026 </w:t>
      </w:r>
      <w:r>
        <w:rPr>
          <w:rFonts w:ascii="Times New Roman"/>
          <w:b w:val="false"/>
          <w:i w:val="false"/>
          <w:color w:val="ff0000"/>
          <w:sz w:val="28"/>
        </w:rPr>
        <w:t>№ 236-НҚ</w:t>
      </w:r>
      <w:r>
        <w:rPr>
          <w:rFonts w:ascii="Times New Roman"/>
          <w:b w:val="false"/>
          <w:i w:val="false"/>
          <w:color w:val="ff0000"/>
          <w:sz w:val="28"/>
        </w:rPr>
        <w:t xml:space="preserve"> и и.о. Министра национальной экономики РК от 03.08.2026 № 120 (вводится в действие после дня его первого официального опубликования).</w:t>
      </w:r>
    </w:p>
    <w:bookmarkStart w:name="z287" w:id="152"/>
    <w:p>
      <w:pPr>
        <w:spacing w:after="0"/>
        <w:ind w:left="0"/>
        <w:jc w:val="both"/>
      </w:pPr>
      <w:r>
        <w:rPr>
          <w:rFonts w:ascii="Times New Roman"/>
          <w:b w:val="false"/>
          <w:i w:val="false"/>
          <w:color w:val="000000"/>
          <w:sz w:val="28"/>
        </w:rPr>
        <w:t xml:space="preserve">
      В отношении субъектов естественных монополий предоставляющие услуги подачи воды по каналам, подачи воды для орошения и регулирования поверхностного стока при помощи подпорных гидротехнических сооружений </w:t>
      </w:r>
    </w:p>
    <w:bookmarkEnd w:id="15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наименование однородной группы субъектов (объектов) контроля</w:t>
      </w:r>
    </w:p>
    <w:bookmarkStart w:name="z292" w:id="153"/>
    <w:p>
      <w:pPr>
        <w:spacing w:after="0"/>
        <w:ind w:left="0"/>
        <w:jc w:val="both"/>
      </w:pPr>
      <w:r>
        <w:rPr>
          <w:rFonts w:ascii="Times New Roman"/>
          <w:b w:val="false"/>
          <w:i w:val="false"/>
          <w:color w:val="000000"/>
          <w:sz w:val="28"/>
        </w:rPr>
        <w:t>
      Государственный орган, назначивший проверку/профилактического контроля с</w:t>
      </w:r>
    </w:p>
    <w:bookmarkEnd w:id="153"/>
    <w:bookmarkStart w:name="z293" w:id="154"/>
    <w:p>
      <w:pPr>
        <w:spacing w:after="0"/>
        <w:ind w:left="0"/>
        <w:jc w:val="both"/>
      </w:pPr>
      <w:r>
        <w:rPr>
          <w:rFonts w:ascii="Times New Roman"/>
          <w:b w:val="false"/>
          <w:i w:val="false"/>
          <w:color w:val="000000"/>
          <w:sz w:val="28"/>
        </w:rPr>
        <w:t>
      посещением субъекта (объекта) контроля __________________________________</w:t>
      </w:r>
    </w:p>
    <w:bookmarkEnd w:id="154"/>
    <w:bookmarkStart w:name="z294" w:id="155"/>
    <w:p>
      <w:pPr>
        <w:spacing w:after="0"/>
        <w:ind w:left="0"/>
        <w:jc w:val="both"/>
      </w:pPr>
      <w:r>
        <w:rPr>
          <w:rFonts w:ascii="Times New Roman"/>
          <w:b w:val="false"/>
          <w:i w:val="false"/>
          <w:color w:val="000000"/>
          <w:sz w:val="28"/>
        </w:rPr>
        <w:t>
      ______________________________________________________________________</w:t>
      </w:r>
    </w:p>
    <w:bookmarkEnd w:id="155"/>
    <w:bookmarkStart w:name="z295" w:id="156"/>
    <w:p>
      <w:pPr>
        <w:spacing w:after="0"/>
        <w:ind w:left="0"/>
        <w:jc w:val="both"/>
      </w:pPr>
      <w:r>
        <w:rPr>
          <w:rFonts w:ascii="Times New Roman"/>
          <w:b w:val="false"/>
          <w:i w:val="false"/>
          <w:color w:val="000000"/>
          <w:sz w:val="28"/>
        </w:rPr>
        <w:t>
      Акт о назначении проверки/профилактического контроля с посещением субъекта</w:t>
      </w:r>
    </w:p>
    <w:bookmarkEnd w:id="156"/>
    <w:bookmarkStart w:name="z296" w:id="157"/>
    <w:p>
      <w:pPr>
        <w:spacing w:after="0"/>
        <w:ind w:left="0"/>
        <w:jc w:val="both"/>
      </w:pPr>
      <w:r>
        <w:rPr>
          <w:rFonts w:ascii="Times New Roman"/>
          <w:b w:val="false"/>
          <w:i w:val="false"/>
          <w:color w:val="000000"/>
          <w:sz w:val="28"/>
        </w:rPr>
        <w:t>
      (объекта) контроля ______________________________________________________</w:t>
      </w:r>
    </w:p>
    <w:bookmarkEnd w:id="157"/>
    <w:bookmarkStart w:name="z297" w:id="158"/>
    <w:p>
      <w:pPr>
        <w:spacing w:after="0"/>
        <w:ind w:left="0"/>
        <w:jc w:val="both"/>
      </w:pPr>
      <w:r>
        <w:rPr>
          <w:rFonts w:ascii="Times New Roman"/>
          <w:b w:val="false"/>
          <w:i w:val="false"/>
          <w:color w:val="000000"/>
          <w:sz w:val="28"/>
        </w:rPr>
        <w:t>
      ______________________________________________________________________</w:t>
      </w:r>
    </w:p>
    <w:bookmarkEnd w:id="158"/>
    <w:bookmarkStart w:name="z298" w:id="159"/>
    <w:p>
      <w:pPr>
        <w:spacing w:after="0"/>
        <w:ind w:left="0"/>
        <w:jc w:val="both"/>
      </w:pPr>
      <w:r>
        <w:rPr>
          <w:rFonts w:ascii="Times New Roman"/>
          <w:b w:val="false"/>
          <w:i w:val="false"/>
          <w:color w:val="000000"/>
          <w:sz w:val="28"/>
        </w:rPr>
        <w:t>
      (№, дата) Наименование субъекта (объекта) контроля ________________________</w:t>
      </w:r>
    </w:p>
    <w:bookmarkEnd w:id="159"/>
    <w:bookmarkStart w:name="z299" w:id="160"/>
    <w:p>
      <w:pPr>
        <w:spacing w:after="0"/>
        <w:ind w:left="0"/>
        <w:jc w:val="both"/>
      </w:pPr>
      <w:r>
        <w:rPr>
          <w:rFonts w:ascii="Times New Roman"/>
          <w:b w:val="false"/>
          <w:i w:val="false"/>
          <w:color w:val="000000"/>
          <w:sz w:val="28"/>
        </w:rPr>
        <w:t>
      ______________________________________________________________________</w:t>
      </w:r>
    </w:p>
    <w:bookmarkEnd w:id="160"/>
    <w:bookmarkStart w:name="z300" w:id="161"/>
    <w:p>
      <w:pPr>
        <w:spacing w:after="0"/>
        <w:ind w:left="0"/>
        <w:jc w:val="both"/>
      </w:pPr>
      <w:r>
        <w:rPr>
          <w:rFonts w:ascii="Times New Roman"/>
          <w:b w:val="false"/>
          <w:i w:val="false"/>
          <w:color w:val="000000"/>
          <w:sz w:val="28"/>
        </w:rPr>
        <w:t>
      (индивидуальный идентификационный номер), бизнес-идентификационный номер</w:t>
      </w:r>
    </w:p>
    <w:bookmarkEnd w:id="161"/>
    <w:bookmarkStart w:name="z301" w:id="162"/>
    <w:p>
      <w:pPr>
        <w:spacing w:after="0"/>
        <w:ind w:left="0"/>
        <w:jc w:val="both"/>
      </w:pPr>
      <w:r>
        <w:rPr>
          <w:rFonts w:ascii="Times New Roman"/>
          <w:b w:val="false"/>
          <w:i w:val="false"/>
          <w:color w:val="000000"/>
          <w:sz w:val="28"/>
        </w:rPr>
        <w:t>
      субъекта (объекта) контроля ____________________________________________</w:t>
      </w:r>
    </w:p>
    <w:bookmarkEnd w:id="162"/>
    <w:bookmarkStart w:name="z302" w:id="163"/>
    <w:p>
      <w:pPr>
        <w:spacing w:after="0"/>
        <w:ind w:left="0"/>
        <w:jc w:val="both"/>
      </w:pPr>
      <w:r>
        <w:rPr>
          <w:rFonts w:ascii="Times New Roman"/>
          <w:b w:val="false"/>
          <w:i w:val="false"/>
          <w:color w:val="000000"/>
          <w:sz w:val="28"/>
        </w:rPr>
        <w:t>
      _____________________________________________________________________</w:t>
      </w:r>
    </w:p>
    <w:bookmarkEnd w:id="163"/>
    <w:bookmarkStart w:name="z303" w:id="164"/>
    <w:p>
      <w:pPr>
        <w:spacing w:after="0"/>
        <w:ind w:left="0"/>
        <w:jc w:val="both"/>
      </w:pPr>
      <w:r>
        <w:rPr>
          <w:rFonts w:ascii="Times New Roman"/>
          <w:b w:val="false"/>
          <w:i w:val="false"/>
          <w:color w:val="000000"/>
          <w:sz w:val="28"/>
        </w:rPr>
        <w:t>
      _____________________________________________________________________</w:t>
      </w:r>
    </w:p>
    <w:bookmarkEnd w:id="164"/>
    <w:bookmarkStart w:name="z304" w:id="165"/>
    <w:p>
      <w:pPr>
        <w:spacing w:after="0"/>
        <w:ind w:left="0"/>
        <w:jc w:val="both"/>
      </w:pPr>
      <w:r>
        <w:rPr>
          <w:rFonts w:ascii="Times New Roman"/>
          <w:b w:val="false"/>
          <w:i w:val="false"/>
          <w:color w:val="000000"/>
          <w:sz w:val="28"/>
        </w:rPr>
        <w:t>
      Адрес места нахождения _______________________________________________</w:t>
      </w:r>
    </w:p>
    <w:bookmarkEnd w:id="165"/>
    <w:bookmarkStart w:name="z305" w:id="166"/>
    <w:p>
      <w:pPr>
        <w:spacing w:after="0"/>
        <w:ind w:left="0"/>
        <w:jc w:val="both"/>
      </w:pPr>
      <w:r>
        <w:rPr>
          <w:rFonts w:ascii="Times New Roman"/>
          <w:b w:val="false"/>
          <w:i w:val="false"/>
          <w:color w:val="000000"/>
          <w:sz w:val="28"/>
        </w:rPr>
        <w:t>
      _____________________________________________________________________</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Доведение до сведения потребителя информации об утверждении тарифа не позднее чем за тридцать календарных дней до его введения в действие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в уполномоченный орган с заявкой для утверждения тарифа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в уполномоченный орган с заявлением о включении в Государственный регистр субъектов естественных монополий, об исключении из него, о внесении изменений и (или) дополнений в него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передавать принадлежащее на праве собственности или ином законном основании имущество, используемое в технологическом цикле при производстве и (или) предоставлении регулируемой услуге, в доверительное управление, имущественный наем (аренду), включая лизинг за исключением случаев, передаче в доверительное управление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передаваемых в доверительное управление активов субъекта естественной монополии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в соответствии с типовыми договорами индивидуальных договоров с потребителями на каждый вид предоставляемых регулируемых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Отчуждение имущества, используемого в технологическом цикле при производстве и (или) предоставлении регулируемой услуги, на торгах, за исключением случаев передачи имущества в собственность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67"/>
          <w:p>
            <w:pPr>
              <w:spacing w:after="20"/>
              <w:ind w:left="20"/>
              <w:jc w:val="both"/>
            </w:pPr>
            <w:r>
              <w:rPr>
                <w:rFonts w:ascii="Times New Roman"/>
                <w:b w:val="false"/>
                <w:i w:val="false"/>
                <w:color w:val="000000"/>
                <w:sz w:val="20"/>
              </w:rPr>
              <w:t>
Получение согласия уполномоченного органа на:</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w:t>
            </w:r>
          </w:p>
          <w:p>
            <w:pPr>
              <w:spacing w:after="20"/>
              <w:ind w:left="20"/>
              <w:jc w:val="both"/>
            </w:pPr>
            <w:r>
              <w:rPr>
                <w:rFonts w:ascii="Times New Roman"/>
                <w:b w:val="false"/>
                <w:i w:val="false"/>
                <w:color w:val="000000"/>
                <w:sz w:val="20"/>
              </w:rPr>
              <w:t>
2) реорганизацию или ликвидацию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требований по предоставлению регулируемой услуги по тарифу, утвержденному уполномоченным органом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установление дополнительных требований, не относящихся к предоставляемой регулируемой услуге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потребителям равных условий доступа к регулируемой услуге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запрету на ограничение деятельности потребителя по проведению работ в соответствии с техническими условиями на подключение к сетям субъекта естественной монополии или увеличения объема регулируемой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запрету на требование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запрету на взимание платы за предоставление информации о свободных мощностях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 установление потребителям приборов учета, за исключением случаев приемки и ввода объектов строительства в эксплуатацию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доступа к объектам утвержденной инвестиционной программы и предоставление информации об исполнении утвержденной инвестиционной программы лицам, уполномоченным на проведение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достижения показателей эффективности деятельности субъектов естественных монополий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Взимание с потребителей платы за приобретение и установку прибора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68"/>
          <w:p>
            <w:pPr>
              <w:spacing w:after="20"/>
              <w:ind w:left="20"/>
              <w:jc w:val="both"/>
            </w:pPr>
            <w:r>
              <w:rPr>
                <w:rFonts w:ascii="Times New Roman"/>
                <w:b w:val="false"/>
                <w:i w:val="false"/>
                <w:color w:val="000000"/>
                <w:sz w:val="20"/>
              </w:rPr>
              <w:t>
Осуществление закупок товаров, работ, услуг на портале одним из следующих способов:</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конкурса;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запроса ценовых предложений;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из одного источника;</w:t>
            </w:r>
          </w:p>
          <w:p>
            <w:pPr>
              <w:spacing w:after="20"/>
              <w:ind w:left="20"/>
              <w:jc w:val="both"/>
            </w:pPr>
            <w:r>
              <w:rPr>
                <w:rFonts w:ascii="Times New Roman"/>
                <w:b w:val="false"/>
                <w:i w:val="false"/>
                <w:color w:val="000000"/>
                <w:sz w:val="20"/>
              </w:rPr>
              <w:t>
4) через товарные биржи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своем интернет-ресурсе, а в случае отсутствия своего интернет-ресурса предоставление уполномоченному органу информацию о портале, на котором осуществляются закупки, с указанием ссылки на портал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утверждению состава конкурсной комиссии, в том числе секретаря конкурсной комиссии и определению технических экспертов для определения соответствия товаров, работ, услуг техническим и качественным характеристикам в соответствии с конкурсной документацией, включая технические спецификации, планы, чертежи, эскизы, до публикации конкурсной документации на портале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конкурсной комиссией открытым голосованием и считать принятым, если за него проголосовало большинство от общего количества членов конкурсной комиссии. При равенстве голосов принятым считается решение, за которое проголосовал председатель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в конкурсной документации товаров, работ и услуг на части (лоты) по месту их поставки (выполнения, оказания) при проведении конкурса по закупкам однородных товаров, работ,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не позднее трех рабочих дней со дня получения запроса ответа на запрос (при наличии) потенциального поставщика по разъяснению конкурсной документации и направление такого разъяснения всем потенциальным поставщикам, которым была предоставлена конкурсная документация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69"/>
          <w:p>
            <w:pPr>
              <w:spacing w:after="20"/>
              <w:ind w:left="20"/>
              <w:jc w:val="both"/>
            </w:pPr>
            <w:r>
              <w:rPr>
                <w:rFonts w:ascii="Times New Roman"/>
                <w:b w:val="false"/>
                <w:i w:val="false"/>
                <w:color w:val="000000"/>
                <w:sz w:val="20"/>
              </w:rPr>
              <w:t>
Возвращение обеспечения конкурсной заявки в течение пяти рабочих дней со дня наступления следующих случаев:</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1) истечения срока действия конкурсной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вступления в силу договора закупок;</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отзыва конкурсной заявки до истечения окончательного срока представления конкурсных заявок;</w:t>
            </w:r>
          </w:p>
          <w:p>
            <w:pPr>
              <w:spacing w:after="20"/>
              <w:ind w:left="20"/>
              <w:jc w:val="both"/>
            </w:pPr>
            <w:r>
              <w:rPr>
                <w:rFonts w:ascii="Times New Roman"/>
                <w:b w:val="false"/>
                <w:i w:val="false"/>
                <w:color w:val="000000"/>
                <w:sz w:val="20"/>
              </w:rPr>
              <w:t>
</w:t>
            </w:r>
            <w:r>
              <w:rPr>
                <w:rFonts w:ascii="Times New Roman"/>
                <w:b w:val="false"/>
                <w:i w:val="false"/>
                <w:color w:val="000000"/>
                <w:sz w:val="20"/>
              </w:rPr>
              <w:t>4) отклонения конкурсной заявки, как не отвечающей требованиям конкурсной документации;</w:t>
            </w:r>
          </w:p>
          <w:p>
            <w:pPr>
              <w:spacing w:after="20"/>
              <w:ind w:left="20"/>
              <w:jc w:val="both"/>
            </w:pPr>
            <w:r>
              <w:rPr>
                <w:rFonts w:ascii="Times New Roman"/>
                <w:b w:val="false"/>
                <w:i w:val="false"/>
                <w:color w:val="000000"/>
                <w:sz w:val="20"/>
              </w:rPr>
              <w:t>
5) прекращения процедур закупок без определения победителя конкурса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конкурсной комиссией конкурсных заявок потенциальных поставщиков отдельно по каждому лоту не более пяти рабочих дней со дня окончания представления конкурсных заявок, установленного в объявлении о проведении конкурса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Непринятие конкурсной комиссией к оценке и сопоставлению конкурсной заявки потенциального поставщика по следующим основаниям:</w:t>
            </w:r>
          </w:p>
          <w:p>
            <w:pPr>
              <w:spacing w:after="20"/>
              <w:ind w:left="20"/>
              <w:jc w:val="both"/>
            </w:pPr>
            <w:r>
              <w:rPr>
                <w:rFonts w:ascii="Times New Roman"/>
                <w:b w:val="false"/>
                <w:i w:val="false"/>
                <w:color w:val="000000"/>
                <w:sz w:val="20"/>
              </w:rPr>
              <w:t>
1) не представлены документы</w:t>
            </w:r>
          </w:p>
          <w:p>
            <w:pPr>
              <w:spacing w:after="20"/>
              <w:ind w:left="20"/>
              <w:jc w:val="both"/>
            </w:pPr>
            <w:r>
              <w:rPr>
                <w:rFonts w:ascii="Times New Roman"/>
                <w:b w:val="false"/>
                <w:i w:val="false"/>
                <w:color w:val="000000"/>
                <w:sz w:val="20"/>
              </w:rPr>
              <w:t>
(1. Техническая спецификация с описанием функциональных, технических, качественных и эксплуатационных характеристик товаров, работ, услуг, а также документов, подтверждающих соответствие товаров, работ, услуг этим требованиям.</w:t>
            </w:r>
          </w:p>
          <w:p>
            <w:pPr>
              <w:spacing w:after="20"/>
              <w:ind w:left="20"/>
              <w:jc w:val="both"/>
            </w:pPr>
            <w:r>
              <w:rPr>
                <w:rFonts w:ascii="Times New Roman"/>
                <w:b w:val="false"/>
                <w:i w:val="false"/>
                <w:color w:val="000000"/>
                <w:sz w:val="20"/>
              </w:rPr>
              <w:t>
2. Лицензии, разрешения (уведомления), патента, свидетельства, сертификата, диплома, сведения о которых подтверждаются в цифровых системах государственных органов (при наличии соответствующего требования в конкурсной документации).</w:t>
            </w:r>
          </w:p>
          <w:p>
            <w:pPr>
              <w:spacing w:after="20"/>
              <w:ind w:left="20"/>
              <w:jc w:val="both"/>
            </w:pPr>
            <w:r>
              <w:rPr>
                <w:rFonts w:ascii="Times New Roman"/>
                <w:b w:val="false"/>
                <w:i w:val="false"/>
                <w:color w:val="000000"/>
                <w:sz w:val="20"/>
              </w:rPr>
              <w:t>
3. Справки банка или филиала банка, в котором обслуживается потенциальный поставщик, об отсутствии просроченной задолженности по обязательствам потенциального поставщика, длящимся более трех месяцев, перед банком или филиалом банка (в случае, если потенциальный поставщик является клиентом нескольких банков второго уровня или филиалов, а также иностранного банка, данная справка представляется от каждого из таких банков). Справка, выданная не ранее одного месяца, предшествующего дате вскрытия конвертов с конкурсными заявками.</w:t>
            </w:r>
          </w:p>
          <w:p>
            <w:pPr>
              <w:spacing w:after="20"/>
              <w:ind w:left="20"/>
              <w:jc w:val="both"/>
            </w:pPr>
            <w:r>
              <w:rPr>
                <w:rFonts w:ascii="Times New Roman"/>
                <w:b w:val="false"/>
                <w:i w:val="false"/>
                <w:color w:val="000000"/>
                <w:sz w:val="20"/>
              </w:rPr>
              <w:t>
4. Сведений об отсутствии (наличии) задолженности, учет по которым ведется в органах государственных доходов, выданной не ранее трех месяцев до дня вскрытия конкурсных заявок.</w:t>
            </w:r>
          </w:p>
          <w:p>
            <w:pPr>
              <w:spacing w:after="20"/>
              <w:ind w:left="20"/>
              <w:jc w:val="both"/>
            </w:pPr>
            <w:r>
              <w:rPr>
                <w:rFonts w:ascii="Times New Roman"/>
                <w:b w:val="false"/>
                <w:i w:val="false"/>
                <w:color w:val="000000"/>
                <w:sz w:val="20"/>
              </w:rPr>
              <w:t>
5. В случае, если потенциальный поставщик не является резидентом Республики Казахстан и не зарегистрирован в качестве налогоплательщика Республики Казахстан, то представляются: справки налогового органа Республики Казахстан о том, что данный потенциальный поставщик является нерезидентом Республики Казахстан и не состоит на налоговом учете; правоустанавливающие документы с проставленным апостилем (легализованный).</w:t>
            </w:r>
          </w:p>
          <w:p>
            <w:pPr>
              <w:spacing w:after="20"/>
              <w:ind w:left="20"/>
              <w:jc w:val="both"/>
            </w:pPr>
            <w:r>
              <w:rPr>
                <w:rFonts w:ascii="Times New Roman"/>
                <w:b w:val="false"/>
                <w:i w:val="false"/>
                <w:color w:val="000000"/>
                <w:sz w:val="20"/>
              </w:rPr>
              <w:t>
6. Платежные поручения, подтверждающие внесение обеспечения конкурсной заявки на банковский счет субъекта естественной монополии (при наличии соответствующего требования в конкурсной документации).</w:t>
            </w:r>
          </w:p>
          <w:p>
            <w:pPr>
              <w:spacing w:after="20"/>
              <w:ind w:left="20"/>
              <w:jc w:val="both"/>
            </w:pPr>
            <w:r>
              <w:rPr>
                <w:rFonts w:ascii="Times New Roman"/>
                <w:b w:val="false"/>
                <w:i w:val="false"/>
                <w:color w:val="000000"/>
                <w:sz w:val="20"/>
              </w:rPr>
              <w:t>
7. В случае, если конкурс объявлен на закупки стратегического товара, то представляются документы, подтверждающие, что потенциальный поставщик является производителем стратегического товара, полученного от соответствующего компетентного органа.</w:t>
            </w:r>
          </w:p>
          <w:p>
            <w:pPr>
              <w:spacing w:after="20"/>
              <w:ind w:left="20"/>
              <w:jc w:val="both"/>
            </w:pPr>
            <w:r>
              <w:rPr>
                <w:rFonts w:ascii="Times New Roman"/>
                <w:b w:val="false"/>
                <w:i w:val="false"/>
                <w:color w:val="000000"/>
                <w:sz w:val="20"/>
              </w:rPr>
              <w:t>
8. Справка о государственной регистрации (перерегистрации) юридического лица, выданное регистрирующим органом.</w:t>
            </w:r>
          </w:p>
          <w:p>
            <w:pPr>
              <w:spacing w:after="20"/>
              <w:ind w:left="20"/>
              <w:jc w:val="both"/>
            </w:pPr>
            <w:r>
              <w:rPr>
                <w:rFonts w:ascii="Times New Roman"/>
                <w:b w:val="false"/>
                <w:i w:val="false"/>
                <w:color w:val="000000"/>
                <w:sz w:val="20"/>
              </w:rPr>
              <w:t>
9. В случае, если потенциальный поставщик является плательщиком налога на добавленную стоимость, копии свидетельства о постановке на учет по налогу на добавленную стоимость либо бумажной копии электронного документа).</w:t>
            </w:r>
          </w:p>
          <w:p>
            <w:pPr>
              <w:spacing w:after="20"/>
              <w:ind w:left="20"/>
              <w:jc w:val="both"/>
            </w:pPr>
            <w:r>
              <w:rPr>
                <w:rFonts w:ascii="Times New Roman"/>
                <w:b w:val="false"/>
                <w:i w:val="false"/>
                <w:color w:val="000000"/>
                <w:sz w:val="20"/>
              </w:rPr>
              <w:t>
2) потенциальный поставщик не внес обеспечение конкурсной заявки;</w:t>
            </w:r>
          </w:p>
          <w:p>
            <w:pPr>
              <w:spacing w:after="20"/>
              <w:ind w:left="20"/>
              <w:jc w:val="both"/>
            </w:pPr>
            <w:r>
              <w:rPr>
                <w:rFonts w:ascii="Times New Roman"/>
                <w:b w:val="false"/>
                <w:i w:val="false"/>
                <w:color w:val="000000"/>
                <w:sz w:val="20"/>
              </w:rPr>
              <w:t>
3) конкурсная заявка, содержит документы, представленные или оформленные с нарушением требований;</w:t>
            </w:r>
          </w:p>
          <w:p>
            <w:pPr>
              <w:spacing w:after="20"/>
              <w:ind w:left="20"/>
              <w:jc w:val="both"/>
            </w:pPr>
            <w:r>
              <w:rPr>
                <w:rFonts w:ascii="Times New Roman"/>
                <w:b w:val="false"/>
                <w:i w:val="false"/>
                <w:color w:val="000000"/>
                <w:sz w:val="20"/>
              </w:rPr>
              <w:t>
4) наличие в справке соответствующего налогового органа сведений о налоговой задолженности и задолженности по обязательным пенсионным взносам и социальным отчислениям в размере одного теңге и более;</w:t>
            </w:r>
          </w:p>
          <w:p>
            <w:pPr>
              <w:spacing w:after="20"/>
              <w:ind w:left="20"/>
              <w:jc w:val="both"/>
            </w:pPr>
            <w:r>
              <w:rPr>
                <w:rFonts w:ascii="Times New Roman"/>
                <w:b w:val="false"/>
                <w:i w:val="false"/>
                <w:color w:val="000000"/>
                <w:sz w:val="20"/>
              </w:rPr>
              <w:t>
5) наличие справки банка или филиала банка просроченной задолженности хотя бы по одному виду обязательств потенциального поставщика, длящейся более трех месяцев, предшествующих дате выдачи данной справки;</w:t>
            </w:r>
          </w:p>
          <w:p>
            <w:pPr>
              <w:spacing w:after="20"/>
              <w:ind w:left="20"/>
              <w:jc w:val="both"/>
            </w:pPr>
            <w:r>
              <w:rPr>
                <w:rFonts w:ascii="Times New Roman"/>
                <w:b w:val="false"/>
                <w:i w:val="false"/>
                <w:color w:val="000000"/>
                <w:sz w:val="20"/>
              </w:rPr>
              <w:t>
6) представление потенциальным поставщиком технической спецификации, не соответствующей требованиям, установленным в технической спецификации конкурсной документации;</w:t>
            </w:r>
          </w:p>
          <w:p>
            <w:pPr>
              <w:spacing w:after="20"/>
              <w:ind w:left="20"/>
              <w:jc w:val="both"/>
            </w:pPr>
            <w:r>
              <w:rPr>
                <w:rFonts w:ascii="Times New Roman"/>
                <w:b w:val="false"/>
                <w:i w:val="false"/>
                <w:color w:val="000000"/>
                <w:sz w:val="20"/>
              </w:rPr>
              <w:t>
7) установлен факт представления недостоверной информации;</w:t>
            </w:r>
          </w:p>
          <w:p>
            <w:pPr>
              <w:spacing w:after="20"/>
              <w:ind w:left="20"/>
              <w:jc w:val="both"/>
            </w:pPr>
            <w:r>
              <w:rPr>
                <w:rFonts w:ascii="Times New Roman"/>
                <w:b w:val="false"/>
                <w:i w:val="false"/>
                <w:color w:val="000000"/>
                <w:sz w:val="20"/>
              </w:rPr>
              <w:t>
8) потенциальный поставщик является аффилированным лицом другого потенциального поставщика, подавшего заявку на участие в данном конкурсе (лоте), если в конкурсе приняли участие только аффилированные между собой лица;</w:t>
            </w:r>
          </w:p>
          <w:p>
            <w:pPr>
              <w:spacing w:after="20"/>
              <w:ind w:left="20"/>
              <w:jc w:val="both"/>
            </w:pPr>
            <w:r>
              <w:rPr>
                <w:rFonts w:ascii="Times New Roman"/>
                <w:b w:val="false"/>
                <w:i w:val="false"/>
                <w:color w:val="000000"/>
                <w:sz w:val="20"/>
              </w:rPr>
              <w:t>
9) цены заявок в теңге потенциальных поставщиков, допущенных к участию в конкурсе, превышают сумму, выделенную на закупки предусмотренную перечнем;</w:t>
            </w:r>
          </w:p>
          <w:p>
            <w:pPr>
              <w:spacing w:after="20"/>
              <w:ind w:left="20"/>
              <w:jc w:val="both"/>
            </w:pPr>
            <w:r>
              <w:rPr>
                <w:rFonts w:ascii="Times New Roman"/>
                <w:b w:val="false"/>
                <w:i w:val="false"/>
                <w:color w:val="000000"/>
                <w:sz w:val="20"/>
              </w:rPr>
              <w:t>
10) ценовое предложение потенциального поставщика признано конкурсной комиссией демпинговым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признанию ценового предложения демпинговым в случае, если оно более чем на 50 процентов ниже суммы, предусмотренной на закупки конкурсной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70"/>
          <w:p>
            <w:pPr>
              <w:spacing w:after="20"/>
              <w:ind w:left="20"/>
              <w:jc w:val="both"/>
            </w:pPr>
            <w:r>
              <w:rPr>
                <w:rFonts w:ascii="Times New Roman"/>
                <w:b w:val="false"/>
                <w:i w:val="false"/>
                <w:color w:val="000000"/>
                <w:sz w:val="20"/>
              </w:rPr>
              <w:t>
Признание конкурсной комиссией конкурса (лота) несостоявшимся в случае, если:</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1) после непринятия к оценке и сопоставлению конкурсных заявок потенциальных поставщиков, осталось менее двух конкурсных заявок;</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участие в конкурсе представили заявку менее двух потенциальных поставщиков;</w:t>
            </w:r>
          </w:p>
          <w:p>
            <w:pPr>
              <w:spacing w:after="20"/>
              <w:ind w:left="20"/>
              <w:jc w:val="both"/>
            </w:pPr>
            <w:r>
              <w:rPr>
                <w:rFonts w:ascii="Times New Roman"/>
                <w:b w:val="false"/>
                <w:i w:val="false"/>
                <w:color w:val="000000"/>
                <w:sz w:val="20"/>
              </w:rPr>
              <w:t>
3) победитель и потенциальный поставщик, занявший второе место, уклоняются от заключения договора о закупках в установленные сроки (не позднее пяти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71"/>
          <w:p>
            <w:pPr>
              <w:spacing w:after="20"/>
              <w:ind w:left="20"/>
              <w:jc w:val="both"/>
            </w:pPr>
            <w:r>
              <w:rPr>
                <w:rFonts w:ascii="Times New Roman"/>
                <w:b w:val="false"/>
                <w:i w:val="false"/>
                <w:color w:val="000000"/>
                <w:sz w:val="20"/>
              </w:rPr>
              <w:t>
Принятие одного из решений если конкурс признан несостоявшимся в целом или по какой-либо части (лоту):</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1) об изменении конкурсной документации и проведении повторного конкурса;</w:t>
            </w:r>
          </w:p>
          <w:p>
            <w:pPr>
              <w:spacing w:after="20"/>
              <w:ind w:left="20"/>
              <w:jc w:val="both"/>
            </w:pPr>
            <w:r>
              <w:rPr>
                <w:rFonts w:ascii="Times New Roman"/>
                <w:b w:val="false"/>
                <w:i w:val="false"/>
                <w:color w:val="000000"/>
                <w:sz w:val="20"/>
              </w:rPr>
              <w:t>
2) об осуществлении закупок способом из одного источника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72"/>
          <w:p>
            <w:pPr>
              <w:spacing w:after="20"/>
              <w:ind w:left="20"/>
              <w:jc w:val="both"/>
            </w:pPr>
            <w:r>
              <w:rPr>
                <w:rFonts w:ascii="Times New Roman"/>
                <w:b w:val="false"/>
                <w:i w:val="false"/>
                <w:color w:val="000000"/>
                <w:sz w:val="20"/>
              </w:rPr>
              <w:t>
Оценивание, сопоставление конкурсной комиссией конкурсных заявок, за исключением конкурсных заявок потенциальных поставщиков, не принятых к оценке и сопоставлению, и определение выигравшей конкурсной заявки на основе самой низкой цены и с учетом следующих критериев:</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расходов на эксплуатацию, техническое обслуживание и ремонт;</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сроков поставки товаров, выполнения работ, предоставления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соответствия функциональных, технических и качественных характеристик товаров, работ,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4) условия гарантий на товары, работы и услуги;</w:t>
            </w:r>
          </w:p>
          <w:p>
            <w:pPr>
              <w:spacing w:after="20"/>
              <w:ind w:left="20"/>
              <w:jc w:val="both"/>
            </w:pPr>
            <w:r>
              <w:rPr>
                <w:rFonts w:ascii="Times New Roman"/>
                <w:b w:val="false"/>
                <w:i w:val="false"/>
                <w:color w:val="000000"/>
                <w:sz w:val="20"/>
              </w:rPr>
              <w:t>
5) квалификационных данных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Подведение конкурсной комиссией итогов конкурса в срок не более шести рабочих дней со дня вскрытия конкурсных заявок, формирование и размещение на портале протокола об итогах конкурса по закупкам товаров, работ, услуг, подписанный электронной цифровой подписью субъекта естественной монополии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173"/>
          <w:p>
            <w:pPr>
              <w:spacing w:after="20"/>
              <w:ind w:left="20"/>
              <w:jc w:val="both"/>
            </w:pPr>
            <w:r>
              <w:rPr>
                <w:rFonts w:ascii="Times New Roman"/>
                <w:b w:val="false"/>
                <w:i w:val="false"/>
                <w:color w:val="000000"/>
                <w:sz w:val="20"/>
              </w:rPr>
              <w:t>
Соблюдение требований о наличии следующей информации при оформлении конкурсной комиссией протокола об итогах конкурса:</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наименования и краткие описания закупаемых товаров, работ,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наименования и места нахождения потенциальных поставщиков, представивших конкурсные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квалификационные данные потенциальных поставщиков, представивших конкурсные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цена и другие основные условия каждой конкурсной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изложение оценки и сопоставления конкурсных заявок;</w:t>
            </w:r>
          </w:p>
          <w:p>
            <w:pPr>
              <w:spacing w:after="20"/>
              <w:ind w:left="20"/>
              <w:jc w:val="both"/>
            </w:pPr>
            <w:r>
              <w:rPr>
                <w:rFonts w:ascii="Times New Roman"/>
                <w:b w:val="false"/>
                <w:i w:val="false"/>
                <w:color w:val="000000"/>
                <w:sz w:val="20"/>
              </w:rPr>
              <w:t>
</w:t>
            </w:r>
            <w:r>
              <w:rPr>
                <w:rFonts w:ascii="Times New Roman"/>
                <w:b w:val="false"/>
                <w:i w:val="false"/>
                <w:color w:val="000000"/>
                <w:sz w:val="20"/>
              </w:rPr>
              <w:t>6) в случае не принятия к оценке и сопоставлению конкурсных заявок – основания не принятия их к оценке и сопоставлению;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7) наименование и местонахождение победителя конкурса по каждому лоту и условия, по которым определен победитель;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наименование, цена потенциального поставщика, занявшего второе место;</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в результате конкурса не определен победитель – основания для принятия такого решения конкурсной комиссией;</w:t>
            </w:r>
          </w:p>
          <w:p>
            <w:pPr>
              <w:spacing w:after="20"/>
              <w:ind w:left="20"/>
              <w:jc w:val="both"/>
            </w:pPr>
            <w:r>
              <w:rPr>
                <w:rFonts w:ascii="Times New Roman"/>
                <w:b w:val="false"/>
                <w:i w:val="false"/>
                <w:color w:val="000000"/>
                <w:sz w:val="20"/>
              </w:rPr>
              <w:t>
</w:t>
            </w:r>
            <w:r>
              <w:rPr>
                <w:rFonts w:ascii="Times New Roman"/>
                <w:b w:val="false"/>
                <w:i w:val="false"/>
                <w:color w:val="000000"/>
                <w:sz w:val="20"/>
              </w:rPr>
              <w:t>10) обобщенное изложение запросов о разъяснении конкурсной документации, ответов на них, а также обобщенное изложение изменений и дополнений в конкурсной документации;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срок, в течение которого подписывается договор о закупках (но не более десяти рабочих дней со дня получения уведомления победителем конкурса);</w:t>
            </w:r>
          </w:p>
          <w:p>
            <w:pPr>
              <w:spacing w:after="20"/>
              <w:ind w:left="20"/>
              <w:jc w:val="both"/>
            </w:pPr>
            <w:r>
              <w:rPr>
                <w:rFonts w:ascii="Times New Roman"/>
                <w:b w:val="false"/>
                <w:i w:val="false"/>
                <w:color w:val="000000"/>
                <w:sz w:val="20"/>
              </w:rPr>
              <w:t>
</w:t>
            </w:r>
            <w:r>
              <w:rPr>
                <w:rFonts w:ascii="Times New Roman"/>
                <w:b w:val="false"/>
                <w:i w:val="false"/>
                <w:color w:val="000000"/>
                <w:sz w:val="20"/>
              </w:rPr>
              <w:t>12) информация о привлечении технических экспертов;</w:t>
            </w:r>
          </w:p>
          <w:p>
            <w:pPr>
              <w:spacing w:after="20"/>
              <w:ind w:left="20"/>
              <w:jc w:val="both"/>
            </w:pPr>
            <w:r>
              <w:rPr>
                <w:rFonts w:ascii="Times New Roman"/>
                <w:b w:val="false"/>
                <w:i w:val="false"/>
                <w:color w:val="000000"/>
                <w:sz w:val="20"/>
              </w:rPr>
              <w:t>
13) в случае, если конкурс состоялся, то сумма, выделенная субъектом естественной монополии на закупки данных товаров, работ, услуг, предусмотренная переченем закупаемых субъектом естественной монополии товаров, работ, услуг, затраты на которые учитываются при утверждении тарифа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направлению посредством портала в течение трех рабочих дней со дня подведения итогов конкурса победителю конкурса уведомления и подписанного субъектом естественной монополии договора о закупках, соответствующий проекту договора в конкурсной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предоставлении по требованию участника конкурса исчерпывающей информации о результатах конкурса и причинах выбора победителя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проведению закупок способом запроса ценовых предложений на однородные товары, работы, услуги, если годовые объемы таких однородных товаров, работ, услуг в стоимостном выражении не превышают четырехтысячекратного размера месячного расчетного показателя, установленного на соответствующий финансовый год. При этом решающим условием является цена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недопущению дробления годового объема закупок однородных видов товаров, работ, услуг в течение финансового года на части в целях применения способа выбора поставщика с использованием запроса ценовых предложений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портале, объявления о закупках способом запроса ценовых предложений и проекта договора, не менее чем за пять рабочих дней до окончания срока представления ценовых предложений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74"/>
          <w:p>
            <w:pPr>
              <w:spacing w:after="20"/>
              <w:ind w:left="20"/>
              <w:jc w:val="both"/>
            </w:pPr>
            <w:r>
              <w:rPr>
                <w:rFonts w:ascii="Times New Roman"/>
                <w:b w:val="false"/>
                <w:i w:val="false"/>
                <w:color w:val="000000"/>
                <w:sz w:val="20"/>
              </w:rPr>
              <w:t>
Соблюдение требований по отклонению ценового предложения потенциального поставщика, в случае если:</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оно превышает сумму, выделенную на закупки;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предлагаемые потенциальным поставщиком товары, работы, услуги не соответствуют требованиям технической спецификации субъекта естественной монополии;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оно не соответствует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потенциальный поставщик предоставил более одного ценового предложения;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потенциальный поставщик аффилирован с другими потенциальными поставщиками;</w:t>
            </w:r>
          </w:p>
          <w:p>
            <w:pPr>
              <w:spacing w:after="20"/>
              <w:ind w:left="20"/>
              <w:jc w:val="both"/>
            </w:pPr>
            <w:r>
              <w:rPr>
                <w:rFonts w:ascii="Times New Roman"/>
                <w:b w:val="false"/>
                <w:i w:val="false"/>
                <w:color w:val="000000"/>
                <w:sz w:val="20"/>
              </w:rPr>
              <w:t>
6) ценовое предложение потенциального поставщика признано демпинговым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75"/>
          <w:p>
            <w:pPr>
              <w:spacing w:after="20"/>
              <w:ind w:left="20"/>
              <w:jc w:val="both"/>
            </w:pPr>
            <w:r>
              <w:rPr>
                <w:rFonts w:ascii="Times New Roman"/>
                <w:b w:val="false"/>
                <w:i w:val="false"/>
                <w:color w:val="000000"/>
                <w:sz w:val="20"/>
              </w:rPr>
              <w:t>
Соблюдение требований по признанию закупок способом запроса ценовых предложений несостоявшимися в случае:</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1) представления менее двух ценовых предложений;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если после автоматического отклонения порталом ценовых предложений осталось менее двух ценовых предложений;</w:t>
            </w:r>
          </w:p>
          <w:p>
            <w:pPr>
              <w:spacing w:after="20"/>
              <w:ind w:left="20"/>
              <w:jc w:val="both"/>
            </w:pPr>
            <w:r>
              <w:rPr>
                <w:rFonts w:ascii="Times New Roman"/>
                <w:b w:val="false"/>
                <w:i w:val="false"/>
                <w:color w:val="000000"/>
                <w:sz w:val="20"/>
              </w:rPr>
              <w:t>
3) победитель и потенциальный поставщик, занявшие второе место, уклонились от заключения договора о закупках в не позднее пяти рабочих дней со дня получения уведомления о признании победителем закупок способом запроса ценовых предложений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176"/>
          <w:p>
            <w:pPr>
              <w:spacing w:after="20"/>
              <w:ind w:left="20"/>
              <w:jc w:val="both"/>
            </w:pPr>
            <w:r>
              <w:rPr>
                <w:rFonts w:ascii="Times New Roman"/>
                <w:b w:val="false"/>
                <w:i w:val="false"/>
                <w:color w:val="000000"/>
                <w:sz w:val="20"/>
              </w:rPr>
              <w:t>
Принятие одного из решений если закупки способом запроса ценовых предложений признаны автоматически порталом несостоявшимися:</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об изменении условий закупок и о проведении повторных закупок способом запроса ценовых предложений;</w:t>
            </w:r>
          </w:p>
          <w:p>
            <w:pPr>
              <w:spacing w:after="20"/>
              <w:ind w:left="20"/>
              <w:jc w:val="both"/>
            </w:pPr>
            <w:r>
              <w:rPr>
                <w:rFonts w:ascii="Times New Roman"/>
                <w:b w:val="false"/>
                <w:i w:val="false"/>
                <w:color w:val="000000"/>
                <w:sz w:val="20"/>
              </w:rPr>
              <w:t>
2) об осуществлении закупок способом из одного источника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177"/>
          <w:p>
            <w:pPr>
              <w:spacing w:after="20"/>
              <w:ind w:left="20"/>
              <w:jc w:val="both"/>
            </w:pPr>
            <w:r>
              <w:rPr>
                <w:rFonts w:ascii="Times New Roman"/>
                <w:b w:val="false"/>
                <w:i w:val="false"/>
                <w:color w:val="000000"/>
                <w:sz w:val="20"/>
              </w:rPr>
              <w:t>
Проведение закупок способом из одного источника посредством портала только в случаях:</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1) если закупки способом конкурса или запроса ценовых предложений признаны несостоявшимися;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приобретения товаров, работ, услуг по ценам, тарифам, на которые установлено государственное регулирование;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приобретения товаров, работ, услуг у лица, обладающего исключительными правами в отношении приобретаемых товаров, работ, услуг, или у лица, являющегося субъектом государственной или естественной монополии;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приобретения товаров, работ, услуг вследствие возникновения обстоятельств непреодолимой силы, в том числе локализации и (или) ликвидации последствий чрезвычайных ситуаций;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приобретения товаров, работ, услуг, связанных с представительскими расходами;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приобретения периодических печатных изданий на бумажном носителе и (или) в электронной форме;</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приобретения имущества (активов), реализуемого на торгах (аукционах):</w:t>
            </w:r>
          </w:p>
          <w:p>
            <w:pPr>
              <w:spacing w:after="20"/>
              <w:ind w:left="20"/>
              <w:jc w:val="both"/>
            </w:pPr>
            <w:r>
              <w:rPr>
                <w:rFonts w:ascii="Times New Roman"/>
                <w:b w:val="false"/>
                <w:i w:val="false"/>
                <w:color w:val="000000"/>
                <w:sz w:val="20"/>
              </w:rPr>
              <w:t>
</w:t>
            </w:r>
            <w:r>
              <w:rPr>
                <w:rFonts w:ascii="Times New Roman"/>
                <w:b w:val="false"/>
                <w:i w:val="false"/>
                <w:color w:val="000000"/>
                <w:sz w:val="20"/>
              </w:rPr>
              <w:t>судебными исполнителями;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по реабилитации и банкротстве;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приватизации государственного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приобретения однородных товаров, работ, услуг, если годовой объем таких однородных товаров, работ, услуг в стоимостном выражении не превышает стократного размера месячного расчетного показателя;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приобретения услуг, связанных с направлением работника в служебную командировку, включая проезд к месту проведения указанных мероприятий и обратно, наем жилого помещения, транспортное обслуживание, обеспечение питания;</w:t>
            </w:r>
          </w:p>
          <w:p>
            <w:pPr>
              <w:spacing w:after="20"/>
              <w:ind w:left="20"/>
              <w:jc w:val="both"/>
            </w:pPr>
            <w:r>
              <w:rPr>
                <w:rFonts w:ascii="Times New Roman"/>
                <w:b w:val="false"/>
                <w:i w:val="false"/>
                <w:color w:val="000000"/>
                <w:sz w:val="20"/>
              </w:rPr>
              <w:t>
10) когда у субъекта естественной монополии, закупившего товары, работы, услуги поставщика, возникает потребность в приобретении товаров, работ, услуг у того же поставщика в целях унификации, стандартизации или обеспечения совместимости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178"/>
          <w:p>
            <w:pPr>
              <w:spacing w:after="20"/>
              <w:ind w:left="20"/>
              <w:jc w:val="both"/>
            </w:pPr>
            <w:r>
              <w:rPr>
                <w:rFonts w:ascii="Times New Roman"/>
                <w:b w:val="false"/>
                <w:i w:val="false"/>
                <w:color w:val="000000"/>
                <w:sz w:val="20"/>
              </w:rPr>
              <w:t>
Предоставление в уполномоченный орган ежегодно не позднее 1 мая года, следующего за отчетным периодом, отчетов об исполнении утвержденной тарифной сметы с приложением материалов за предыдущий календарный год:</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1) пояснительная записка об исполнении тарифной сметы с объяснением причин ее неисполнения;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отчет о прибылях и убытках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реализации смет затрат, направленных на ремонт, не приводящий к росту стоимости основных средств;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материалы, подтверждающие фактические затраты субъекта по тарифной смете (копии договоров, актов выполненных работ, накладных, счетов-фактур,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материалы, подтверждающие постатейную экономию затрат с приложением материалов, подтверждающих фактическое использование указанной экономии, и (или) сокращения объемов предоставляемых регулируемых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письмо местного исполнительного органа с информацией о внедрении субъектом более эффективных методов и технологий предоставления регулируемых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протоколы конкурсных (тендерных) комиссий;</w:t>
            </w:r>
          </w:p>
          <w:p>
            <w:pPr>
              <w:spacing w:after="20"/>
              <w:ind w:left="20"/>
              <w:jc w:val="both"/>
            </w:pPr>
            <w:r>
              <w:rPr>
                <w:rFonts w:ascii="Times New Roman"/>
                <w:b w:val="false"/>
                <w:i w:val="false"/>
                <w:color w:val="000000"/>
                <w:sz w:val="20"/>
              </w:rPr>
              <w:t>
</w:t>
            </w:r>
            <w:r>
              <w:rPr>
                <w:rFonts w:ascii="Times New Roman"/>
                <w:b w:val="false"/>
                <w:i w:val="false"/>
                <w:color w:val="000000"/>
                <w:sz w:val="20"/>
              </w:rPr>
              <w:t>акты сверок с потребителями объемов предоставленных регулируемых услуг и выставленные счет-фактуры к оплате, за исключением сельхозтоваропроизводителей (СХТП), по которым предоставляется реестр объемов потребления регулируемых услуг с указанием объемов и сумм к оплате;</w:t>
            </w:r>
          </w:p>
          <w:p>
            <w:pPr>
              <w:spacing w:after="20"/>
              <w:ind w:left="20"/>
              <w:jc w:val="both"/>
            </w:pPr>
            <w:r>
              <w:rPr>
                <w:rFonts w:ascii="Times New Roman"/>
                <w:b w:val="false"/>
                <w:i w:val="false"/>
                <w:color w:val="000000"/>
                <w:sz w:val="20"/>
              </w:rPr>
              <w:t>
</w:t>
            </w:r>
            <w:r>
              <w:rPr>
                <w:rFonts w:ascii="Times New Roman"/>
                <w:b w:val="false"/>
                <w:i w:val="false"/>
                <w:color w:val="000000"/>
                <w:sz w:val="20"/>
              </w:rPr>
              <w:t>письмо местного исполнительного органа с информацией о фактических объемах предоставленных регулируемых услуг;</w:t>
            </w:r>
          </w:p>
          <w:p>
            <w:pPr>
              <w:spacing w:after="20"/>
              <w:ind w:left="20"/>
              <w:jc w:val="both"/>
            </w:pPr>
            <w:r>
              <w:rPr>
                <w:rFonts w:ascii="Times New Roman"/>
                <w:b w:val="false"/>
                <w:i w:val="false"/>
                <w:color w:val="000000"/>
                <w:sz w:val="20"/>
              </w:rPr>
              <w:t xml:space="preserve">
6) отчетность по формам,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179"/>
          <w:p>
            <w:pPr>
              <w:spacing w:after="20"/>
              <w:ind w:left="20"/>
              <w:jc w:val="both"/>
            </w:pPr>
            <w:r>
              <w:rPr>
                <w:rFonts w:ascii="Times New Roman"/>
                <w:b w:val="false"/>
                <w:i w:val="false"/>
                <w:color w:val="000000"/>
                <w:sz w:val="20"/>
              </w:rPr>
              <w:t>
Предоставление в уполномоченный орган ежегодно не позднее 1 мая года, следующего за отчетным периодом, отчетов об исполнении утвержденной инвестиционной программы с приложением:</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информация о плановых и фактических объемах предоставляемых регулируемых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2) отчет о прибылях и убытках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информация о фактических условиях и размерах финансирования инвестиционной программы;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информация о сопоставлении фактических показателей исполнения инвестиционной программы с показателями, утвержденными в инвестиционной программе в соответствии с перечнем целевых показателей;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разъяснения причин отклонения достигнутых фактических показателей от показателей в утвержденной инвестиционной программе;</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материалы, подтверждающие фактическое исполнение мероприятий инвестиционной программы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p>
            <w:pPr>
              <w:spacing w:after="20"/>
              <w:ind w:left="20"/>
              <w:jc w:val="both"/>
            </w:pPr>
            <w:r>
              <w:rPr>
                <w:rFonts w:ascii="Times New Roman"/>
                <w:b w:val="false"/>
                <w:i w:val="false"/>
                <w:color w:val="000000"/>
                <w:sz w:val="20"/>
              </w:rPr>
              <w:t>
7) заключение по итогам проведения общественного мониторинга и (или) технической экспертизы исполнения утвержденной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не позднее 1 августа текущего календарного года и 1 мая следующего календарного года отчетов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 не позднее пяти календарных дней со дня проведения отчета в средствах массовой информации, в том числе на своем интернет-ресурсе либо интернет-ресурсе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по требованию потребителей информации о тарифе, об условиях предоставления регулируемой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не позднее 1 августа текущего календарного года и 1 мая следующего календарного года проводить отчеты по итогам полугодия и года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Информирование уполномоченного органа о тарифе, его изменении не позднее, чем за тридцать календарных дней до введения его в действие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субъектом естественной монополии: созданного впервые; оказывающего новую регулируемую услугу (новые регулируемые услуги); в случае приобретения (строительства) новых объектов и (или) участков, если действующий тариф утвержден раздельно по объектам и (или) участкам; субъекта естественной монополии малой мощности заявки на утверждение тарифа с применением затратного метода тарифного регулирования по истечении срока действия тарифа, утвержденного в упрощенном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переданного (направленного) уведомления об осуществлении субъектом естественной монополии деятельности, не относящейся к регулируемым услугам в уполномоченный орган в срок не позднее десяти рабочих дней со дня осуществления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включение в тариф затрат, не связанных с предоставлением регулируемой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разработанной и утвержденной методики ведения раздельного учета доходов, затрат и задействованных активов по каждому виду регулируемых услуг субъектов естественных монополий в соответствии с порядком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утвержденной тарифной сметы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мероприятий утвержденной инвестиционной программы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с уполномоченным органом договора доверительного управления по передаче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собственности у субъекта естественных монополий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с уполномоченным органом договор доверительного управления имуществом, используемым в технологическом цикле при предоставлении регулируемых услуг, находящимся в собственности у субъекта естественных монополий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Согласование с уполномоченным органом кредитные соглашения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180"/>
          <w:p>
            <w:pPr>
              <w:spacing w:after="20"/>
              <w:ind w:left="20"/>
              <w:jc w:val="both"/>
            </w:pPr>
            <w:r>
              <w:rPr>
                <w:rFonts w:ascii="Times New Roman"/>
                <w:b w:val="false"/>
                <w:i w:val="false"/>
                <w:color w:val="000000"/>
                <w:sz w:val="20"/>
              </w:rPr>
              <w:t xml:space="preserve">
Информирование уполномоченного органа за месяц до проведения отчета перед потребителями и иными заинтересованными лицами: </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отчеты субъекта естественной монополии перед потребителями и иными заинтересованными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об исполнении утвержденной тарифной сметы;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об исполнении утвержденной инвестиционной программы; </w:t>
            </w:r>
          </w:p>
          <w:p>
            <w:pPr>
              <w:spacing w:after="20"/>
              <w:ind w:left="20"/>
              <w:jc w:val="both"/>
            </w:pPr>
            <w:r>
              <w:rPr>
                <w:rFonts w:ascii="Times New Roman"/>
                <w:b w:val="false"/>
                <w:i w:val="false"/>
                <w:color w:val="000000"/>
                <w:sz w:val="20"/>
              </w:rPr>
              <w:t>
</w:t>
            </w:r>
            <w:r>
              <w:rPr>
                <w:rFonts w:ascii="Times New Roman"/>
                <w:b w:val="false"/>
                <w:i w:val="false"/>
                <w:color w:val="000000"/>
                <w:sz w:val="20"/>
              </w:rPr>
              <w:t>о соблюдении показателей качества и надежности регулируемых услуг;</w:t>
            </w:r>
          </w:p>
          <w:p>
            <w:pPr>
              <w:spacing w:after="20"/>
              <w:ind w:left="20"/>
              <w:jc w:val="both"/>
            </w:pPr>
            <w:r>
              <w:rPr>
                <w:rFonts w:ascii="Times New Roman"/>
                <w:b w:val="false"/>
                <w:i w:val="false"/>
                <w:color w:val="000000"/>
                <w:sz w:val="20"/>
              </w:rPr>
              <w:t>
о достижении показателей эффективности деятельности субъектов естественных монополий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направленной информации в уполномоченный орган субъектом естественной монополии малой мощности до реорганизации или ликвидации не менее чем за десять календарных дней о своем намерении совершить указанные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по требованию потребителей информации, содержащейся в утвержденных тарифной смете и инвестиционной программе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ежегодно, в срок до 31 декабря для сведения уполномоченному органу перечня закупаемых субъектом естественной монополии товаров, работ и услуг, затраты на которые учитываются при утверждении тарифа с применением затратного метода тарифного регулирования на следующий календарный год, утвержденного приказом первого руководителя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передачи информации, сведений о закупках, товарах, работ и услугах, осуществляемых в цифровых системах электронных закупок, интегрированной с цифровой системой Национальной палаты предпринимателей Республики Казахстан и (или) цифровой системой уполномоченного органа в сфере государственных закупок (Единая платформа закупок) в целях формирования единой точки доступа к информации по закупкам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81"/>
          <w:p>
            <w:pPr>
              <w:spacing w:after="20"/>
              <w:ind w:left="20"/>
              <w:jc w:val="both"/>
            </w:pPr>
            <w:r>
              <w:rPr>
                <w:rFonts w:ascii="Times New Roman"/>
                <w:b w:val="false"/>
                <w:i w:val="false"/>
                <w:color w:val="000000"/>
                <w:sz w:val="20"/>
              </w:rPr>
              <w:t>
Не учитывание в затратной части тарифа следующих расходов:</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на сверхнормативные технические и коммерческие потери, порчу и недостачи товарно-материальных ценностей и запасы на складах, другие непроизводительные расходы и потери;</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амортизационные отчисления основных средств, не используемых при предоставлении регулируемых услуг, либо не находящихся на балансе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 плату за пользование основными средствами (кроме основных средств общехозяйственного назначения), полученными в аренду, доверительное управление или в имущественный наем, выплаты по операционному лизингу;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на содержание и ремонт основных средств, не находящихся на балансе субъекта, за исключением содержания и ремонта основных средств, полученных в пользование для предоставления регулируемых услуг на основании договора доверительного управления государственным имуществом от местных исполнительных органов.Этапы включения затрат на содержание и ремонт определяются уполномоченном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платежи за сверхнормативные выбросы (сбросы) загрязняющих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судебные издержки;</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безнадежная задолженность;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8) штрафы, пени, неустойки и другие виды санкций за нарушение условий хозяйственных договоров;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9) штрафы и пени за сокрытие (занижение) дохода;</w:t>
            </w:r>
          </w:p>
          <w:p>
            <w:pPr>
              <w:spacing w:after="20"/>
              <w:ind w:left="20"/>
              <w:jc w:val="both"/>
            </w:pPr>
            <w:r>
              <w:rPr>
                <w:rFonts w:ascii="Times New Roman"/>
                <w:b w:val="false"/>
                <w:i w:val="false"/>
                <w:color w:val="000000"/>
                <w:sz w:val="20"/>
              </w:rPr>
              <w:t>
</w:t>
            </w:r>
            <w:r>
              <w:rPr>
                <w:rFonts w:ascii="Times New Roman"/>
                <w:b w:val="false"/>
                <w:i w:val="false"/>
                <w:color w:val="000000"/>
                <w:sz w:val="20"/>
              </w:rPr>
              <w:t>10) убытки от хищений;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11) потери от брака используемых для предоставления регулируемой услуги основных средств,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12) по содержанию обслуживающих производств и хозяйств (бесплатное предоставление помещений, оплата стоимости коммунальных услуг организациям общественного питания);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13) на содержание объектов здравоохранения, детских дошкольных учреждений, учебных заведений, профессионально технических училищ, кроме технологически необходимых, согласованных с компетентным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14) на содержание оздоровительных лагерей, объектов культуры и спорта, жилого фонда;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на проведение культурно-просветительных, оздоровительных и спортивных мероприятий (проведение вечеров отдыха, спектаклей, концертов);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16) на погашение ссуд (включая беспроцентные), выданных работникам предприятий на улучшение жилищных условий, приобретение садовых домиков и обзаведение домашним хозяйством;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17) по благоустройству садовых товариществ (в том числе, строительство дорог, энерго- и водоснабжение, осуществление других расходов общего характера);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18) на проведение и организацию лекций, выставок, диспутов, встреч с деятелями науки и искусства, научно технических конференций, членские взносы в общественные организации и ассоциации;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19) по рекламе в средствах массовой информации, по изданию рекламной, плакатной и типографской продукции, за исключением продукции, используемой в производственных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20) на приобретение, аренду и содержание квартир, жилых зданий и сооружений, мест в общежитиях и гостиницах для персонала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21) на выполнение работ по благоустройству города, предоставлению помощи сельскому хозяйству и другие подобного рода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22) на оплату отпусков работникам, обучающихся в организации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на премирование и другие формы вознаграждения по итогам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24) по оплате путевок работникам и их детям на лечение, отдых, экскурсии за счет средств субъекта, кроме затрат, связанных с реабилитационным лечением профзаболеваний;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по оплате услуг поликлиник по договорам, заключенным с органами здравоохранения на предоставление своим работникам медицинской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26) страховые платежи (взносы, уплачиваемые предприятиями по договорам личного и имущественного страхования, заключенных предприятиями в пользу своих работников);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27) по оплате дополнительно предоставленных (сверх предусмотренного законодательством) отпусков работникам, в том числе женщинам, воспитывающим детей, оплата проезда членов семьи работника к месту использования отпуска и обратно, а также компенсация за неиспользованный отпуск;</w:t>
            </w:r>
          </w:p>
          <w:p>
            <w:pPr>
              <w:spacing w:after="20"/>
              <w:ind w:left="20"/>
              <w:jc w:val="both"/>
            </w:pPr>
            <w:r>
              <w:rPr>
                <w:rFonts w:ascii="Times New Roman"/>
                <w:b w:val="false"/>
                <w:i w:val="false"/>
                <w:color w:val="000000"/>
                <w:sz w:val="20"/>
              </w:rPr>
              <w:t>
</w:t>
            </w:r>
            <w:r>
              <w:rPr>
                <w:rFonts w:ascii="Times New Roman"/>
                <w:b w:val="false"/>
                <w:i w:val="false"/>
                <w:color w:val="000000"/>
                <w:sz w:val="20"/>
              </w:rPr>
              <w:t>28) на предоставление всех видов спонсорской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29) льготы работникам субъекта (предоставление питания работникам бесплатно или по сниженным ценам, оплата абонементов в группы здоровья, занятий в секциях, клубах, протезирование);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30) на приобретение подарков на юбилейные даты или выдаваемые в виде поощрения работникам (включая автомашины, квартиры, предметы длительного пользования, а также увеличение процентных ставок лицевых счетов работников);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 компенсацию стоимости питания детям, находящимся в дошкольных учреждениях, санаториях и оздоровительных лагерях;</w:t>
            </w:r>
          </w:p>
          <w:p>
            <w:pPr>
              <w:spacing w:after="20"/>
              <w:ind w:left="20"/>
              <w:jc w:val="both"/>
            </w:pPr>
            <w:r>
              <w:rPr>
                <w:rFonts w:ascii="Times New Roman"/>
                <w:b w:val="false"/>
                <w:i w:val="false"/>
                <w:color w:val="000000"/>
                <w:sz w:val="20"/>
              </w:rPr>
              <w:t>
</w:t>
            </w:r>
            <w:r>
              <w:rPr>
                <w:rFonts w:ascii="Times New Roman"/>
                <w:b w:val="false"/>
                <w:i w:val="false"/>
                <w:color w:val="000000"/>
                <w:sz w:val="20"/>
              </w:rPr>
              <w:t>32) на услуги банков и организации, осуществляющих отдельные виды банковских операций по приему коммунальных платежей от потребителей;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33) отчисления профсоюзам на цели, определенные коллективным договором;</w:t>
            </w:r>
          </w:p>
          <w:p>
            <w:pPr>
              <w:spacing w:after="20"/>
              <w:ind w:left="20"/>
              <w:jc w:val="both"/>
            </w:pPr>
            <w:r>
              <w:rPr>
                <w:rFonts w:ascii="Times New Roman"/>
                <w:b w:val="false"/>
                <w:i w:val="false"/>
                <w:color w:val="000000"/>
                <w:sz w:val="20"/>
              </w:rPr>
              <w:t>
</w:t>
            </w:r>
            <w:r>
              <w:rPr>
                <w:rFonts w:ascii="Times New Roman"/>
                <w:b w:val="false"/>
                <w:i w:val="false"/>
                <w:color w:val="000000"/>
                <w:sz w:val="20"/>
              </w:rPr>
              <w:t>34) связанные с проведением опытно-экспериментальных работ, изготовлением и испытанием моделей и образцов по изобретениям и рационализаторским предложениям (за исключением работ, применяющихся в представлении регулируемых услуг, организацией выставок, смотров, конкурсов и других мероприятий по изобретательству и рационализации, выплаты авторских вознаграждений и другие;</w:t>
            </w:r>
          </w:p>
          <w:p>
            <w:pPr>
              <w:spacing w:after="20"/>
              <w:ind w:left="20"/>
              <w:jc w:val="both"/>
            </w:pPr>
            <w:r>
              <w:rPr>
                <w:rFonts w:ascii="Times New Roman"/>
                <w:b w:val="false"/>
                <w:i w:val="false"/>
                <w:color w:val="000000"/>
                <w:sz w:val="20"/>
              </w:rPr>
              <w:t>
35) расходы, не относящиеся к производству и предоставлению регулируемых услуг и приводящие к росту тарифов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при утверждении тарифа с применением стимулирующего метода тарифного регулирования ежегодно в срок не позднее 1 мая отчетного периода представлять в уполномоченный орган, иной государственный орган либо местный исполнительный орган отчеты о фактически достигнутых за отчетный год доходах, расходах, соблюдении показателей качества и надежности регулируемых услуг, достижении показателей эффективности деятельности субъектов естественных монополий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не позднее 1 августа текущего календарного года и 1 мая следующего календарного года в средствах массовой информации, распространяемых на территории соответствующей административно-территориальной единицы, отчетов перед потребителями и иными заинтересованными лицами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с обоснованиями, в том числе финансовую отчетность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182"/>
          <w:p>
            <w:pPr>
              <w:spacing w:after="20"/>
              <w:ind w:left="20"/>
              <w:jc w:val="both"/>
            </w:pPr>
            <w:r>
              <w:rPr>
                <w:rFonts w:ascii="Times New Roman"/>
                <w:b w:val="false"/>
                <w:i w:val="false"/>
                <w:color w:val="000000"/>
                <w:sz w:val="20"/>
              </w:rPr>
              <w:t>
Соблюдение требований после опубликования в периодическом печатном издании объявления о дате и месте проведения публичных слушаний представить по требованию участников публичных слушаний:</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1) проекты тарифа и тарифной сметы;</w:t>
            </w:r>
          </w:p>
          <w:p>
            <w:pPr>
              <w:spacing w:after="20"/>
              <w:ind w:left="20"/>
              <w:jc w:val="both"/>
            </w:pPr>
            <w:r>
              <w:rPr>
                <w:rFonts w:ascii="Times New Roman"/>
                <w:b w:val="false"/>
                <w:i w:val="false"/>
                <w:color w:val="000000"/>
                <w:sz w:val="20"/>
              </w:rPr>
              <w:t>
2) информацию о причинах изменения тарифа с экономически обоснованными расчетами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объявления о предстоящем проведении отчета субъектом естественной монополии, включенным в местный раздел Государственного регистра субъектов естественных монополий, в периодическом печатном издании, выпускаемом не реже одного раза в неделю и распространяемом на территории соответствующей административно-территориальной единицы, а субъектом естественной монополии, включенным в республиканский раздел Государственного регистра субъектов естественных монополий, – в периодическом печатном издании, выпускаемом не реже одного раза в неделю и распространяемом на всей территории Республики Казахстан, не позднее, чем за пятнадцать рабочих дней до его проведения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183"/>
          <w:p>
            <w:pPr>
              <w:spacing w:after="20"/>
              <w:ind w:left="20"/>
              <w:jc w:val="both"/>
            </w:pPr>
            <w:r>
              <w:rPr>
                <w:rFonts w:ascii="Times New Roman"/>
                <w:b w:val="false"/>
                <w:i w:val="false"/>
                <w:color w:val="000000"/>
                <w:sz w:val="20"/>
              </w:rPr>
              <w:t>
Размещение ежеквартально на своем интернет-ресурсе либо в случае его отсутствия представление уполномоченному органу для размещения на его интернет-ресурсе:</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информацию о резерве, наличии свободных и доступных мощностей, емкостей, мест, пропускных способностей сетей субъекта естественной монополии;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схемы размещения сетей или иного имущества, используемого при предоставлении регулируемых услуг, за исключением сведений, относящихся к государственным секретам и иной охраняемой законом тайне и регулируемых услуг;</w:t>
            </w:r>
          </w:p>
          <w:p>
            <w:pPr>
              <w:spacing w:after="20"/>
              <w:ind w:left="20"/>
              <w:jc w:val="both"/>
            </w:pPr>
            <w:r>
              <w:rPr>
                <w:rFonts w:ascii="Times New Roman"/>
                <w:b w:val="false"/>
                <w:i w:val="false"/>
                <w:color w:val="000000"/>
                <w:sz w:val="20"/>
              </w:rPr>
              <w:t>
3) 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сведений, относящихся к государственным секретам и иной охраняемой законом тайне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5" w:id="184"/>
    <w:p>
      <w:pPr>
        <w:spacing w:after="0"/>
        <w:ind w:left="0"/>
        <w:jc w:val="both"/>
      </w:pPr>
      <w:r>
        <w:rPr>
          <w:rFonts w:ascii="Times New Roman"/>
          <w:b w:val="false"/>
          <w:i w:val="false"/>
          <w:color w:val="000000"/>
          <w:sz w:val="28"/>
        </w:rPr>
        <w:t>
      Должностное (-ые) лицо (а) ____________________________ _______________</w:t>
      </w:r>
    </w:p>
    <w:bookmarkEnd w:id="184"/>
    <w:bookmarkStart w:name="z446" w:id="185"/>
    <w:p>
      <w:pPr>
        <w:spacing w:after="0"/>
        <w:ind w:left="0"/>
        <w:jc w:val="both"/>
      </w:pPr>
      <w:r>
        <w:rPr>
          <w:rFonts w:ascii="Times New Roman"/>
          <w:b w:val="false"/>
          <w:i w:val="false"/>
          <w:color w:val="000000"/>
          <w:sz w:val="28"/>
        </w:rPr>
        <w:t>
                                                                     должность                                 подпись</w:t>
      </w:r>
    </w:p>
    <w:bookmarkEnd w:id="185"/>
    <w:bookmarkStart w:name="z447" w:id="186"/>
    <w:p>
      <w:pPr>
        <w:spacing w:after="0"/>
        <w:ind w:left="0"/>
        <w:jc w:val="both"/>
      </w:pPr>
      <w:r>
        <w:rPr>
          <w:rFonts w:ascii="Times New Roman"/>
          <w:b w:val="false"/>
          <w:i w:val="false"/>
          <w:color w:val="000000"/>
          <w:sz w:val="28"/>
        </w:rPr>
        <w:t>
      ____________________________________________________________________</w:t>
      </w:r>
    </w:p>
    <w:bookmarkEnd w:id="186"/>
    <w:bookmarkStart w:name="z448" w:id="187"/>
    <w:p>
      <w:pPr>
        <w:spacing w:after="0"/>
        <w:ind w:left="0"/>
        <w:jc w:val="both"/>
      </w:pPr>
      <w:r>
        <w:rPr>
          <w:rFonts w:ascii="Times New Roman"/>
          <w:b w:val="false"/>
          <w:i w:val="false"/>
          <w:color w:val="000000"/>
          <w:sz w:val="28"/>
        </w:rPr>
        <w:t>
                            фамилия, имя, отчество (при его наличии)</w:t>
      </w:r>
    </w:p>
    <w:bookmarkEnd w:id="187"/>
    <w:bookmarkStart w:name="z449" w:id="188"/>
    <w:p>
      <w:pPr>
        <w:spacing w:after="0"/>
        <w:ind w:left="0"/>
        <w:jc w:val="both"/>
      </w:pPr>
      <w:r>
        <w:rPr>
          <w:rFonts w:ascii="Times New Roman"/>
          <w:b w:val="false"/>
          <w:i w:val="false"/>
          <w:color w:val="000000"/>
          <w:sz w:val="28"/>
        </w:rPr>
        <w:t>
      Руководитель субъекта (объекта) контроля ____________________ ___________</w:t>
      </w:r>
    </w:p>
    <w:bookmarkEnd w:id="188"/>
    <w:bookmarkStart w:name="z450" w:id="189"/>
    <w:p>
      <w:pPr>
        <w:spacing w:after="0"/>
        <w:ind w:left="0"/>
        <w:jc w:val="both"/>
      </w:pPr>
      <w:r>
        <w:rPr>
          <w:rFonts w:ascii="Times New Roman"/>
          <w:b w:val="false"/>
          <w:i w:val="false"/>
          <w:color w:val="000000"/>
          <w:sz w:val="28"/>
        </w:rPr>
        <w:t>
                                                                                           должность                 подпись</w:t>
      </w:r>
    </w:p>
    <w:bookmarkEnd w:id="189"/>
    <w:bookmarkStart w:name="z451" w:id="190"/>
    <w:p>
      <w:pPr>
        <w:spacing w:after="0"/>
        <w:ind w:left="0"/>
        <w:jc w:val="both"/>
      </w:pPr>
      <w:r>
        <w:rPr>
          <w:rFonts w:ascii="Times New Roman"/>
          <w:b w:val="false"/>
          <w:i w:val="false"/>
          <w:color w:val="000000"/>
          <w:sz w:val="28"/>
        </w:rPr>
        <w:t>
      ____________________________________________________________________</w:t>
      </w:r>
    </w:p>
    <w:bookmarkEnd w:id="190"/>
    <w:bookmarkStart w:name="z452" w:id="191"/>
    <w:p>
      <w:pPr>
        <w:spacing w:after="0"/>
        <w:ind w:left="0"/>
        <w:jc w:val="both"/>
      </w:pPr>
      <w:r>
        <w:rPr>
          <w:rFonts w:ascii="Times New Roman"/>
          <w:b w:val="false"/>
          <w:i w:val="false"/>
          <w:color w:val="000000"/>
          <w:sz w:val="28"/>
        </w:rPr>
        <w:t>
      фамилия, имя, отчество (при его наличии)</w:t>
      </w:r>
    </w:p>
    <w:bookmarkEnd w:id="1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