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9b6f" w14:textId="6989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0"/>
        <w:ind w:left="0"/>
        <w:jc w:val="both"/>
      </w:pPr>
      <w:r>
        <w:rPr>
          <w:rFonts w:ascii="Times New Roman"/>
          <w:b w:val="false"/>
          <w:i w:val="false"/>
          <w:color w:val="000000"/>
          <w:sz w:val="28"/>
        </w:rPr>
        <w:t>Совместный приказ и.о. Министра водных ресурсов и ирригации Республики Казахстан от 30 апреля 2025 года № 85-НҚ и и.о. Министра национальной экономики Республики Казахстан от 2 мая 2025 года № 25. Зарегистрирован в Министерстве юстиции Республики Казахстан 5 мая 2025 года № 36074.</w:t>
      </w:r>
    </w:p>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bookmarkStart w:name="z8" w:id="1"/>
    <w:p>
      <w:pPr>
        <w:spacing w:after="0"/>
        <w:ind w:left="0"/>
        <w:jc w:val="both"/>
      </w:pPr>
      <w:r>
        <w:rPr>
          <w:rFonts w:ascii="Times New Roman"/>
          <w:b w:val="false"/>
          <w:i w:val="false"/>
          <w:color w:val="000000"/>
          <w:sz w:val="28"/>
        </w:rPr>
        <w:t>
      1. Утвердить прилагаемые:</w:t>
      </w:r>
    </w:p>
    <w:bookmarkEnd w:id="1"/>
    <w:bookmarkStart w:name="z9" w:id="2"/>
    <w:p>
      <w:pPr>
        <w:spacing w:after="0"/>
        <w:ind w:left="0"/>
        <w:jc w:val="both"/>
      </w:pPr>
      <w:r>
        <w:rPr>
          <w:rFonts w:ascii="Times New Roman"/>
          <w:b w:val="false"/>
          <w:i w:val="false"/>
          <w:color w:val="000000"/>
          <w:sz w:val="28"/>
        </w:rPr>
        <w:t xml:space="preserve">
      1) критерии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10" w:id="3"/>
    <w:p>
      <w:pPr>
        <w:spacing w:after="0"/>
        <w:ind w:left="0"/>
        <w:jc w:val="both"/>
      </w:pPr>
      <w:r>
        <w:rPr>
          <w:rFonts w:ascii="Times New Roman"/>
          <w:b w:val="false"/>
          <w:i w:val="false"/>
          <w:color w:val="000000"/>
          <w:sz w:val="28"/>
        </w:rPr>
        <w:t xml:space="preserve">
      2) проверочный лист в сфере естественных монополий по услугам подачи воды по каналам, подачи воды для орошения и регулирования поверхностного стока при помощи подпорных гидротехнических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водных ресурсов и ирригации РК от 03.07.2025 </w:t>
      </w:r>
      <w:r>
        <w:rPr>
          <w:rFonts w:ascii="Times New Roman"/>
          <w:b w:val="false"/>
          <w:i w:val="false"/>
          <w:color w:val="00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xml:space="preserve">
      2. Департаменту тарифной политики Министерства водных ресурсов и ирригации Республики Казахстан в установленном законодательством порядке обеспечить: </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водных ресурсов и ирригации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водных ресурсов и ирригации Республики Казахстан.</w:t>
      </w:r>
    </w:p>
    <w:bookmarkEnd w:id="8"/>
    <w:bookmarkStart w:name="z16" w:id="9"/>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 ресурсов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Алдамжаров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"СОГЛАСОВАН"</w:t>
      </w:r>
    </w:p>
    <w:bookmarkEnd w:id="10"/>
    <w:bookmarkStart w:name="z20" w:id="11"/>
    <w:p>
      <w:pPr>
        <w:spacing w:after="0"/>
        <w:ind w:left="0"/>
        <w:jc w:val="both"/>
      </w:pPr>
      <w:r>
        <w:rPr>
          <w:rFonts w:ascii="Times New Roman"/>
          <w:b w:val="false"/>
          <w:i w:val="false"/>
          <w:color w:val="000000"/>
          <w:sz w:val="28"/>
        </w:rPr>
        <w:t xml:space="preserve">
      Комитет по правовой </w:t>
      </w:r>
    </w:p>
    <w:bookmarkEnd w:id="11"/>
    <w:bookmarkStart w:name="z21" w:id="12"/>
    <w:p>
      <w:pPr>
        <w:spacing w:after="0"/>
        <w:ind w:left="0"/>
        <w:jc w:val="both"/>
      </w:pPr>
      <w:r>
        <w:rPr>
          <w:rFonts w:ascii="Times New Roman"/>
          <w:b w:val="false"/>
          <w:i w:val="false"/>
          <w:color w:val="000000"/>
          <w:sz w:val="28"/>
        </w:rPr>
        <w:t xml:space="preserve">
      статистике и специальным учетам </w:t>
      </w:r>
    </w:p>
    <w:bookmarkEnd w:id="12"/>
    <w:bookmarkStart w:name="z22" w:id="13"/>
    <w:p>
      <w:pPr>
        <w:spacing w:after="0"/>
        <w:ind w:left="0"/>
        <w:jc w:val="both"/>
      </w:pPr>
      <w:r>
        <w:rPr>
          <w:rFonts w:ascii="Times New Roman"/>
          <w:b w:val="false"/>
          <w:i w:val="false"/>
          <w:color w:val="000000"/>
          <w:sz w:val="28"/>
        </w:rPr>
        <w:t xml:space="preserve">
      Генеральной прокуратуры </w:t>
      </w:r>
    </w:p>
    <w:bookmarkEnd w:id="13"/>
    <w:bookmarkStart w:name="z23" w:id="14"/>
    <w:p>
      <w:pPr>
        <w:spacing w:after="0"/>
        <w:ind w:left="0"/>
        <w:jc w:val="both"/>
      </w:pPr>
      <w:r>
        <w:rPr>
          <w:rFonts w:ascii="Times New Roman"/>
          <w:b w:val="false"/>
          <w:i w:val="false"/>
          <w:color w:val="000000"/>
          <w:sz w:val="28"/>
        </w:rPr>
        <w:t>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2025 года № 25 и</w:t>
            </w:r>
            <w:r>
              <w:br/>
            </w:r>
            <w:r>
              <w:rPr>
                <w:rFonts w:ascii="Times New Roman"/>
                <w:b w:val="false"/>
                <w:i w:val="false"/>
                <w:color w:val="000000"/>
                <w:sz w:val="20"/>
              </w:rPr>
              <w:t>И.о. 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w:t>
            </w:r>
            <w:r>
              <w:br/>
            </w:r>
            <w:r>
              <w:rPr>
                <w:rFonts w:ascii="Times New Roman"/>
                <w:b w:val="false"/>
                <w:i w:val="false"/>
                <w:color w:val="000000"/>
                <w:sz w:val="20"/>
              </w:rPr>
              <w:t>№ 85-НҚ</w:t>
            </w:r>
          </w:p>
        </w:tc>
      </w:tr>
    </w:tbl>
    <w:bookmarkStart w:name="z25" w:id="15"/>
    <w:p>
      <w:pPr>
        <w:spacing w:after="0"/>
        <w:ind w:left="0"/>
        <w:jc w:val="left"/>
      </w:pPr>
      <w:r>
        <w:rPr>
          <w:rFonts w:ascii="Times New Roman"/>
          <w:b/>
          <w:i w:val="false"/>
          <w:color w:val="000000"/>
        </w:rPr>
        <w:t xml:space="preserve"> Критерии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5"/>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p>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Критерии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 (далее – Критерии) разработаны в соответствии с пунктами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формой проверочного листа,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совместного приказа и.о. Министра водных ресурсов и ирригации РК от 03.07.2025 </w:t>
      </w:r>
      <w:r>
        <w:rPr>
          <w:rFonts w:ascii="Times New Roman"/>
          <w:b w:val="false"/>
          <w:i w:val="false"/>
          <w:color w:val="00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2. В данных Критериях использованы следующие понятия:</w:t>
      </w:r>
    </w:p>
    <w:bookmarkEnd w:id="18"/>
    <w:bookmarkStart w:name="z29" w:id="19"/>
    <w:p>
      <w:pPr>
        <w:spacing w:after="0"/>
        <w:ind w:left="0"/>
        <w:jc w:val="both"/>
      </w:pPr>
      <w:r>
        <w:rPr>
          <w:rFonts w:ascii="Times New Roman"/>
          <w:b w:val="false"/>
          <w:i w:val="false"/>
          <w:color w:val="000000"/>
          <w:sz w:val="28"/>
        </w:rPr>
        <w:t>
      1) субъекты контроля (объекты) – субъекты естественной монополии, предоставляющие регулируемые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9"/>
    <w:bookmarkStart w:name="z30" w:id="20"/>
    <w:p>
      <w:pPr>
        <w:spacing w:after="0"/>
        <w:ind w:left="0"/>
        <w:jc w:val="both"/>
      </w:pPr>
      <w:r>
        <w:rPr>
          <w:rFonts w:ascii="Times New Roman"/>
          <w:b w:val="false"/>
          <w:i w:val="false"/>
          <w:color w:val="000000"/>
          <w:sz w:val="28"/>
        </w:rPr>
        <w:t>
      2) балл – количественная мера исчисления риска;</w:t>
      </w:r>
    </w:p>
    <w:bookmarkEnd w:id="20"/>
    <w:bookmarkStart w:name="z31" w:id="21"/>
    <w:p>
      <w:pPr>
        <w:spacing w:after="0"/>
        <w:ind w:left="0"/>
        <w:jc w:val="both"/>
      </w:pPr>
      <w:r>
        <w:rPr>
          <w:rFonts w:ascii="Times New Roman"/>
          <w:b w:val="false"/>
          <w:i w:val="false"/>
          <w:color w:val="000000"/>
          <w:sz w:val="28"/>
        </w:rPr>
        <w:t>
      3)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1"/>
    <w:bookmarkStart w:name="z32" w:id="22"/>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сфере естественных монополии, не относящиеся к значительным и грубым нарушениям;</w:t>
      </w:r>
    </w:p>
    <w:bookmarkEnd w:id="22"/>
    <w:bookmarkStart w:name="z33" w:id="23"/>
    <w:p>
      <w:pPr>
        <w:spacing w:after="0"/>
        <w:ind w:left="0"/>
        <w:jc w:val="both"/>
      </w:pPr>
      <w:r>
        <w:rPr>
          <w:rFonts w:ascii="Times New Roman"/>
          <w:b w:val="false"/>
          <w:i w:val="false"/>
          <w:color w:val="000000"/>
          <w:sz w:val="28"/>
        </w:rPr>
        <w:t xml:space="preserve">
      5) значительные нарушения – нарушения требований законодательства Республики Казахстан в сфере естественных монополии, создающие предпосылки для причинения вреда жизни, здоровью человека, окружающей среде и законным интересам физических и юридических лиц, государства; </w:t>
      </w:r>
    </w:p>
    <w:bookmarkEnd w:id="23"/>
    <w:bookmarkStart w:name="z34" w:id="24"/>
    <w:p>
      <w:pPr>
        <w:spacing w:after="0"/>
        <w:ind w:left="0"/>
        <w:jc w:val="both"/>
      </w:pPr>
      <w:r>
        <w:rPr>
          <w:rFonts w:ascii="Times New Roman"/>
          <w:b w:val="false"/>
          <w:i w:val="false"/>
          <w:color w:val="000000"/>
          <w:sz w:val="28"/>
        </w:rPr>
        <w:t>
      6) грубые нарушения – нарушения требований, установленных законодательством Республики Казахстан в сфере естественных монополии, которые могут привести к существенным нарушениям прав, свобод и законных интересов физических и юридических лиц;</w:t>
      </w:r>
    </w:p>
    <w:bookmarkEnd w:id="24"/>
    <w:bookmarkStart w:name="z35" w:id="25"/>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5"/>
    <w:bookmarkStart w:name="z36" w:id="26"/>
    <w:p>
      <w:pPr>
        <w:spacing w:after="0"/>
        <w:ind w:left="0"/>
        <w:jc w:val="both"/>
      </w:pPr>
      <w:r>
        <w:rPr>
          <w:rFonts w:ascii="Times New Roman"/>
          <w:b w:val="false"/>
          <w:i w:val="false"/>
          <w:color w:val="000000"/>
          <w:sz w:val="28"/>
        </w:rPr>
        <w:t>
      8)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6"/>
    <w:bookmarkStart w:name="z37" w:id="27"/>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контроля в зависимости от результатов деятельности конкретного проверяемого субъекта (объекта) контроля;</w:t>
      </w:r>
    </w:p>
    <w:bookmarkEnd w:id="27"/>
    <w:bookmarkStart w:name="z38" w:id="28"/>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8"/>
    <w:bookmarkStart w:name="z39" w:id="29"/>
    <w:p>
      <w:pPr>
        <w:spacing w:after="0"/>
        <w:ind w:left="0"/>
        <w:jc w:val="both"/>
      </w:pPr>
      <w:r>
        <w:rPr>
          <w:rFonts w:ascii="Times New Roman"/>
          <w:b w:val="false"/>
          <w:i w:val="false"/>
          <w:color w:val="000000"/>
          <w:sz w:val="28"/>
        </w:rPr>
        <w:t>
      11)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9"/>
    <w:bookmarkStart w:name="z40" w:id="30"/>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совместным приказом и.о. Министра водных ресурсов и ирригации РК от 03.07.2025 </w:t>
      </w:r>
      <w:r>
        <w:rPr>
          <w:rFonts w:ascii="Times New Roman"/>
          <w:b w:val="false"/>
          <w:i w:val="false"/>
          <w:color w:val="00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3.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31"/>
    <w:bookmarkStart w:name="z42" w:id="32"/>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проводятся профилактический контроль без посещения субъекта (объекта) контроля и внеплановая проверка.</w:t>
      </w:r>
    </w:p>
    <w:bookmarkEnd w:id="32"/>
    <w:bookmarkStart w:name="z43" w:id="33"/>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33"/>
    <w:bookmarkStart w:name="z44" w:id="34"/>
    <w:p>
      <w:pPr>
        <w:spacing w:after="0"/>
        <w:ind w:left="0"/>
        <w:jc w:val="left"/>
      </w:pPr>
      <w:r>
        <w:rPr>
          <w:rFonts w:ascii="Times New Roman"/>
          <w:b/>
          <w:i w:val="false"/>
          <w:color w:val="000000"/>
        </w:rPr>
        <w:t xml:space="preserve"> Глава 2. Объективные критерии</w:t>
      </w:r>
    </w:p>
    <w:bookmarkEnd w:id="34"/>
    <w:bookmarkStart w:name="z45" w:id="35"/>
    <w:p>
      <w:pPr>
        <w:spacing w:after="0"/>
        <w:ind w:left="0"/>
        <w:jc w:val="both"/>
      </w:pPr>
      <w:r>
        <w:rPr>
          <w:rFonts w:ascii="Times New Roman"/>
          <w:b w:val="false"/>
          <w:i w:val="false"/>
          <w:color w:val="000000"/>
          <w:sz w:val="28"/>
        </w:rPr>
        <w:t>
      5.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5"/>
    <w:bookmarkStart w:name="z46" w:id="36"/>
    <w:p>
      <w:pPr>
        <w:spacing w:after="0"/>
        <w:ind w:left="0"/>
        <w:jc w:val="both"/>
      </w:pPr>
      <w:r>
        <w:rPr>
          <w:rFonts w:ascii="Times New Roman"/>
          <w:b w:val="false"/>
          <w:i w:val="false"/>
          <w:color w:val="000000"/>
          <w:sz w:val="28"/>
        </w:rPr>
        <w:t>
      На первом этапе государственный орган по объективным критериям относят субъекты (объекты) контроля к одной из следующих степеней риска (далее – степени риска):</w:t>
      </w:r>
    </w:p>
    <w:bookmarkEnd w:id="36"/>
    <w:bookmarkStart w:name="z47" w:id="37"/>
    <w:p>
      <w:pPr>
        <w:spacing w:after="0"/>
        <w:ind w:left="0"/>
        <w:jc w:val="both"/>
      </w:pPr>
      <w:r>
        <w:rPr>
          <w:rFonts w:ascii="Times New Roman"/>
          <w:b w:val="false"/>
          <w:i w:val="false"/>
          <w:color w:val="000000"/>
          <w:sz w:val="28"/>
        </w:rPr>
        <w:t>
      1) высокий риск;</w:t>
      </w:r>
    </w:p>
    <w:bookmarkEnd w:id="37"/>
    <w:bookmarkStart w:name="z48" w:id="38"/>
    <w:p>
      <w:pPr>
        <w:spacing w:after="0"/>
        <w:ind w:left="0"/>
        <w:jc w:val="both"/>
      </w:pPr>
      <w:r>
        <w:rPr>
          <w:rFonts w:ascii="Times New Roman"/>
          <w:b w:val="false"/>
          <w:i w:val="false"/>
          <w:color w:val="000000"/>
          <w:sz w:val="28"/>
        </w:rPr>
        <w:t>
      2) средний риск;</w:t>
      </w:r>
    </w:p>
    <w:bookmarkEnd w:id="38"/>
    <w:bookmarkStart w:name="z49" w:id="39"/>
    <w:p>
      <w:pPr>
        <w:spacing w:after="0"/>
        <w:ind w:left="0"/>
        <w:jc w:val="both"/>
      </w:pPr>
      <w:r>
        <w:rPr>
          <w:rFonts w:ascii="Times New Roman"/>
          <w:b w:val="false"/>
          <w:i w:val="false"/>
          <w:color w:val="000000"/>
          <w:sz w:val="28"/>
        </w:rPr>
        <w:t>
      3) низкий риск.</w:t>
      </w:r>
    </w:p>
    <w:bookmarkEnd w:id="39"/>
    <w:bookmarkStart w:name="z50" w:id="40"/>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по объективным критериям,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40"/>
    <w:bookmarkStart w:name="z51" w:id="41"/>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по объективным критериям, проводятся профилактический контроль без посещения субъекта (объекта) контроля и внеплановая проверка.</w:t>
      </w:r>
    </w:p>
    <w:bookmarkEnd w:id="41"/>
    <w:bookmarkStart w:name="z52" w:id="42"/>
    <w:p>
      <w:pPr>
        <w:spacing w:after="0"/>
        <w:ind w:left="0"/>
        <w:jc w:val="both"/>
      </w:pPr>
      <w:r>
        <w:rPr>
          <w:rFonts w:ascii="Times New Roman"/>
          <w:b w:val="false"/>
          <w:i w:val="false"/>
          <w:color w:val="000000"/>
          <w:sz w:val="28"/>
        </w:rPr>
        <w:t xml:space="preserve">
      На втором этапе государственный орган по субъективным критериям относят субъекты (объекты) контроля к одной из следующих степеней риска: </w:t>
      </w:r>
    </w:p>
    <w:bookmarkEnd w:id="42"/>
    <w:bookmarkStart w:name="z53" w:id="43"/>
    <w:p>
      <w:pPr>
        <w:spacing w:after="0"/>
        <w:ind w:left="0"/>
        <w:jc w:val="both"/>
      </w:pPr>
      <w:r>
        <w:rPr>
          <w:rFonts w:ascii="Times New Roman"/>
          <w:b w:val="false"/>
          <w:i w:val="false"/>
          <w:color w:val="000000"/>
          <w:sz w:val="28"/>
        </w:rPr>
        <w:t>
      1) высокий риск;</w:t>
      </w:r>
    </w:p>
    <w:bookmarkEnd w:id="43"/>
    <w:bookmarkStart w:name="z54" w:id="44"/>
    <w:p>
      <w:pPr>
        <w:spacing w:after="0"/>
        <w:ind w:left="0"/>
        <w:jc w:val="both"/>
      </w:pPr>
      <w:r>
        <w:rPr>
          <w:rFonts w:ascii="Times New Roman"/>
          <w:b w:val="false"/>
          <w:i w:val="false"/>
          <w:color w:val="000000"/>
          <w:sz w:val="28"/>
        </w:rPr>
        <w:t>
      2) средний риск;</w:t>
      </w:r>
    </w:p>
    <w:bookmarkEnd w:id="44"/>
    <w:bookmarkStart w:name="z55" w:id="45"/>
    <w:p>
      <w:pPr>
        <w:spacing w:after="0"/>
        <w:ind w:left="0"/>
        <w:jc w:val="both"/>
      </w:pPr>
      <w:r>
        <w:rPr>
          <w:rFonts w:ascii="Times New Roman"/>
          <w:b w:val="false"/>
          <w:i w:val="false"/>
          <w:color w:val="000000"/>
          <w:sz w:val="28"/>
        </w:rPr>
        <w:t>
      3) низкий риск.</w:t>
      </w:r>
    </w:p>
    <w:bookmarkEnd w:id="45"/>
    <w:bookmarkStart w:name="z56" w:id="46"/>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46"/>
    <w:bookmarkStart w:name="z57" w:id="4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7"/>
    <w:bookmarkStart w:name="z58" w:id="4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8"/>
    <w:bookmarkStart w:name="z59" w:id="49"/>
    <w:p>
      <w:pPr>
        <w:spacing w:after="0"/>
        <w:ind w:left="0"/>
        <w:jc w:val="both"/>
      </w:pPr>
      <w:r>
        <w:rPr>
          <w:rFonts w:ascii="Times New Roman"/>
          <w:b w:val="false"/>
          <w:i w:val="false"/>
          <w:color w:val="000000"/>
          <w:sz w:val="28"/>
        </w:rPr>
        <w:t xml:space="preserve">
      3) к низкой степени риска – при показателе степени риска от 0 до 30 включительно. </w:t>
      </w:r>
    </w:p>
    <w:bookmarkEnd w:id="49"/>
    <w:bookmarkStart w:name="z60" w:id="50"/>
    <w:p>
      <w:pPr>
        <w:spacing w:after="0"/>
        <w:ind w:left="0"/>
        <w:jc w:val="both"/>
      </w:pPr>
      <w:r>
        <w:rPr>
          <w:rFonts w:ascii="Times New Roman"/>
          <w:b w:val="false"/>
          <w:i w:val="false"/>
          <w:color w:val="000000"/>
          <w:sz w:val="28"/>
        </w:rPr>
        <w:t>
      6. В сферах естественных монополий к высокой степени риска относятся субъекты естественных монополий по услугам подачи воды по каналам, подачи воды для орошения и регулирования поверхностного стока при помощи подпорных гидротехнических сооружений,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 и получившие необоснованный доход (выручку).</w:t>
      </w:r>
    </w:p>
    <w:bookmarkEnd w:id="50"/>
    <w:bookmarkStart w:name="z454" w:id="51"/>
    <w:p>
      <w:pPr>
        <w:spacing w:after="0"/>
        <w:ind w:left="0"/>
        <w:jc w:val="both"/>
      </w:pPr>
      <w:r>
        <w:rPr>
          <w:rFonts w:ascii="Times New Roman"/>
          <w:b w:val="false"/>
          <w:i w:val="false"/>
          <w:color w:val="000000"/>
          <w:sz w:val="28"/>
        </w:rPr>
        <w:t>
      В сферах естественных монополий к средней степени риска относятся субъекты естественных монополий по услугам подачи воды по каналам, подачи воды для орошения и регулирования поверхностного стока при помощи подпорных гидротехнических сооружений,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w:t>
      </w:r>
    </w:p>
    <w:bookmarkEnd w:id="51"/>
    <w:bookmarkStart w:name="z455" w:id="52"/>
    <w:p>
      <w:pPr>
        <w:spacing w:after="0"/>
        <w:ind w:left="0"/>
        <w:jc w:val="both"/>
      </w:pPr>
      <w:r>
        <w:rPr>
          <w:rFonts w:ascii="Times New Roman"/>
          <w:b w:val="false"/>
          <w:i w:val="false"/>
          <w:color w:val="000000"/>
          <w:sz w:val="28"/>
        </w:rPr>
        <w:t>
      В сфере естественных монополий к низкой степени риска относятся вновь созданные субъекты естественных монополий по услугам подачи воды по каналам, подачи воды для орошения и регулирования поверхностного стока при помощи подпорных гидротехнических сооружений, оказывающие регулируемые услуги отнесенные к сфере естественных монополий менее одного календарного года.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совместного приказа и.о. Министра водных ресурсов и ирригации РК от 03.07.2025 </w:t>
      </w:r>
      <w:r>
        <w:rPr>
          <w:rFonts w:ascii="Times New Roman"/>
          <w:b w:val="false"/>
          <w:i w:val="false"/>
          <w:color w:val="00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3"/>
    <w:p>
      <w:pPr>
        <w:spacing w:after="0"/>
        <w:ind w:left="0"/>
        <w:jc w:val="left"/>
      </w:pPr>
      <w:r>
        <w:rPr>
          <w:rFonts w:ascii="Times New Roman"/>
          <w:b/>
          <w:i w:val="false"/>
          <w:color w:val="000000"/>
        </w:rPr>
        <w:t xml:space="preserve"> Глава 3. Субъективные критерии</w:t>
      </w:r>
    </w:p>
    <w:bookmarkEnd w:id="53"/>
    <w:bookmarkStart w:name="z64" w:id="54"/>
    <w:p>
      <w:pPr>
        <w:spacing w:after="0"/>
        <w:ind w:left="0"/>
        <w:jc w:val="both"/>
      </w:pP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p>
    <w:bookmarkEnd w:id="54"/>
    <w:bookmarkStart w:name="z65" w:id="55"/>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При этом, степень тяжести (грубое, значительное, незначительное) устанавливается в случае несоблюдения требований законодательства, отраженных в проверочных листах;</w:t>
      </w:r>
    </w:p>
    <w:bookmarkEnd w:id="55"/>
    <w:bookmarkStart w:name="z66" w:id="56"/>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bookmarkEnd w:id="56"/>
    <w:bookmarkStart w:name="z67" w:id="57"/>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и средств массовой информации;</w:t>
      </w:r>
    </w:p>
    <w:bookmarkEnd w:id="57"/>
    <w:bookmarkStart w:name="z68" w:id="58"/>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58"/>
    <w:bookmarkStart w:name="z69" w:id="59"/>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9"/>
    <w:bookmarkStart w:name="z70" w:id="60"/>
    <w:p>
      <w:pPr>
        <w:spacing w:after="0"/>
        <w:ind w:left="0"/>
        <w:jc w:val="both"/>
      </w:pPr>
      <w:r>
        <w:rPr>
          <w:rFonts w:ascii="Times New Roman"/>
          <w:b w:val="false"/>
          <w:i w:val="false"/>
          <w:color w:val="000000"/>
          <w:sz w:val="28"/>
        </w:rPr>
        <w:t>
      1) формирование базы данных и сбор информации;</w:t>
      </w:r>
    </w:p>
    <w:bookmarkEnd w:id="60"/>
    <w:bookmarkStart w:name="z71" w:id="61"/>
    <w:p>
      <w:pPr>
        <w:spacing w:after="0"/>
        <w:ind w:left="0"/>
        <w:jc w:val="both"/>
      </w:pPr>
      <w:r>
        <w:rPr>
          <w:rFonts w:ascii="Times New Roman"/>
          <w:b w:val="false"/>
          <w:i w:val="false"/>
          <w:color w:val="000000"/>
          <w:sz w:val="28"/>
        </w:rPr>
        <w:t>
      2) анализ информации и оценка рисков.</w:t>
      </w:r>
    </w:p>
    <w:bookmarkEnd w:id="61"/>
    <w:bookmarkStart w:name="z72" w:id="62"/>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62"/>
    <w:bookmarkStart w:name="z73" w:id="63"/>
    <w:p>
      <w:pPr>
        <w:spacing w:after="0"/>
        <w:ind w:left="0"/>
        <w:jc w:val="both"/>
      </w:pPr>
      <w:r>
        <w:rPr>
          <w:rFonts w:ascii="Times New Roman"/>
          <w:b w:val="false"/>
          <w:i w:val="false"/>
          <w:color w:val="000000"/>
          <w:sz w:val="28"/>
        </w:rPr>
        <w:t xml:space="preserve">
      Степени нарушений требований для субъектов естественных монополий определены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63"/>
    <w:bookmarkStart w:name="z74" w:id="64"/>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предусмотрены в </w:t>
      </w:r>
      <w:r>
        <w:rPr>
          <w:rFonts w:ascii="Times New Roman"/>
          <w:b w:val="false"/>
          <w:i w:val="false"/>
          <w:color w:val="000000"/>
          <w:sz w:val="28"/>
        </w:rPr>
        <w:t>приложений 2</w:t>
      </w:r>
      <w:r>
        <w:rPr>
          <w:rFonts w:ascii="Times New Roman"/>
          <w:b w:val="false"/>
          <w:i w:val="false"/>
          <w:color w:val="000000"/>
          <w:sz w:val="28"/>
        </w:rPr>
        <w:t xml:space="preserve"> к настоящим Критериям.</w:t>
      </w:r>
    </w:p>
    <w:bookmarkEnd w:id="64"/>
    <w:bookmarkStart w:name="z75" w:id="65"/>
    <w:p>
      <w:pPr>
        <w:spacing w:after="0"/>
        <w:ind w:left="0"/>
        <w:jc w:val="both"/>
      </w:pPr>
      <w:r>
        <w:rPr>
          <w:rFonts w:ascii="Times New Roman"/>
          <w:b w:val="false"/>
          <w:i w:val="false"/>
          <w:color w:val="000000"/>
          <w:sz w:val="28"/>
        </w:rPr>
        <w:t>
      10. Для отнесения субъекта контроля к степени риска применяется следующий порядок расчета показателя степени риска.</w:t>
      </w:r>
    </w:p>
    <w:bookmarkEnd w:id="65"/>
    <w:bookmarkStart w:name="z76" w:id="66"/>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(SC), с последующей нормализацией значений данных в диапазон от 0 до 100 баллов.</w:t>
      </w:r>
    </w:p>
    <w:bookmarkEnd w:id="66"/>
    <w:bookmarkStart w:name="z77" w:id="67"/>
    <w:p>
      <w:pPr>
        <w:spacing w:after="0"/>
        <w:ind w:left="0"/>
        <w:jc w:val="both"/>
      </w:pPr>
      <w:r>
        <w:rPr>
          <w:rFonts w:ascii="Times New Roman"/>
          <w:b w:val="false"/>
          <w:i w:val="false"/>
          <w:color w:val="000000"/>
          <w:sz w:val="28"/>
        </w:rPr>
        <w:t>
      Rпром = SP + SC, где:</w:t>
      </w:r>
    </w:p>
    <w:bookmarkEnd w:id="67"/>
    <w:bookmarkStart w:name="z78" w:id="68"/>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68"/>
    <w:bookmarkStart w:name="z79" w:id="69"/>
    <w:p>
      <w:pPr>
        <w:spacing w:after="0"/>
        <w:ind w:left="0"/>
        <w:jc w:val="both"/>
      </w:pPr>
      <w:r>
        <w:rPr>
          <w:rFonts w:ascii="Times New Roman"/>
          <w:b w:val="false"/>
          <w:i w:val="false"/>
          <w:color w:val="000000"/>
          <w:sz w:val="28"/>
        </w:rPr>
        <w:t>
      SР – показатель степени риска по нарушениям;</w:t>
      </w:r>
    </w:p>
    <w:bookmarkEnd w:id="69"/>
    <w:bookmarkStart w:name="z80" w:id="70"/>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6 настоящих Критериев.</w:t>
      </w:r>
    </w:p>
    <w:bookmarkEnd w:id="70"/>
    <w:bookmarkStart w:name="z81" w:id="71"/>
    <w:p>
      <w:pPr>
        <w:spacing w:after="0"/>
        <w:ind w:left="0"/>
        <w:jc w:val="both"/>
      </w:pPr>
      <w:r>
        <w:rPr>
          <w:rFonts w:ascii="Times New Roman"/>
          <w:b w:val="false"/>
          <w:i w:val="false"/>
          <w:color w:val="000000"/>
          <w:sz w:val="28"/>
        </w:rPr>
        <w:t>
      Расчет производится по каждому субъекту (объекту) контроля. При этом перечень оцениваемых субъектов (объектов) контроля, образует выборочную совокупность (выборку) для последующей нормализации данных.</w:t>
      </w:r>
    </w:p>
    <w:bookmarkEnd w:id="71"/>
    <w:bookmarkStart w:name="z82" w:id="72"/>
    <w:p>
      <w:pPr>
        <w:spacing w:after="0"/>
        <w:ind w:left="0"/>
        <w:jc w:val="both"/>
      </w:pPr>
      <w:r>
        <w:rPr>
          <w:rFonts w:ascii="Times New Roman"/>
          <w:b w:val="false"/>
          <w:i w:val="false"/>
          <w:color w:val="000000"/>
          <w:sz w:val="28"/>
        </w:rPr>
        <w:t>
      11.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2"/>
    <w:bookmarkStart w:name="z83" w:id="73"/>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7 настоящих Критериев, субъекту контроля приравнивается показатель степени риска 100 баллов и в отношении него проводится профилактический контроль с посещением субъекта (объекта) контроля.</w:t>
      </w:r>
    </w:p>
    <w:bookmarkEnd w:id="73"/>
    <w:bookmarkStart w:name="z84" w:id="74"/>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74"/>
    <w:bookmarkStart w:name="z85" w:id="7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75"/>
    <w:bookmarkStart w:name="z86" w:id="76"/>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76"/>
    <w:bookmarkStart w:name="z87" w:id="77"/>
    <w:p>
      <w:pPr>
        <w:spacing w:after="0"/>
        <w:ind w:left="0"/>
        <w:jc w:val="both"/>
      </w:pPr>
      <w:r>
        <w:rPr>
          <w:rFonts w:ascii="Times New Roman"/>
          <w:b w:val="false"/>
          <w:i w:val="false"/>
          <w:color w:val="000000"/>
          <w:sz w:val="28"/>
        </w:rPr>
        <w:t>
      SРз = (SР2 х 100/SР1) х 0,7, где:</w:t>
      </w:r>
    </w:p>
    <w:bookmarkEnd w:id="77"/>
    <w:bookmarkStart w:name="z88" w:id="78"/>
    <w:p>
      <w:pPr>
        <w:spacing w:after="0"/>
        <w:ind w:left="0"/>
        <w:jc w:val="both"/>
      </w:pPr>
      <w:r>
        <w:rPr>
          <w:rFonts w:ascii="Times New Roman"/>
          <w:b w:val="false"/>
          <w:i w:val="false"/>
          <w:color w:val="000000"/>
          <w:sz w:val="28"/>
        </w:rPr>
        <w:t>
      SРз – показатель значительных нарушений;</w:t>
      </w:r>
    </w:p>
    <w:bookmarkEnd w:id="78"/>
    <w:bookmarkStart w:name="z89" w:id="79"/>
    <w:p>
      <w:pPr>
        <w:spacing w:after="0"/>
        <w:ind w:left="0"/>
        <w:jc w:val="both"/>
      </w:pPr>
      <w:r>
        <w:rPr>
          <w:rFonts w:ascii="Times New Roman"/>
          <w:b w:val="false"/>
          <w:i w:val="false"/>
          <w:color w:val="000000"/>
          <w:sz w:val="28"/>
        </w:rPr>
        <w:t>
      SР1 – требуемое количество значительных нарушений;</w:t>
      </w:r>
    </w:p>
    <w:bookmarkEnd w:id="79"/>
    <w:bookmarkStart w:name="z90" w:id="80"/>
    <w:p>
      <w:pPr>
        <w:spacing w:after="0"/>
        <w:ind w:left="0"/>
        <w:jc w:val="both"/>
      </w:pPr>
      <w:r>
        <w:rPr>
          <w:rFonts w:ascii="Times New Roman"/>
          <w:b w:val="false"/>
          <w:i w:val="false"/>
          <w:color w:val="000000"/>
          <w:sz w:val="28"/>
        </w:rPr>
        <w:t>
      SР2 – количество выявленных значительных нарушений;</w:t>
      </w:r>
    </w:p>
    <w:bookmarkEnd w:id="80"/>
    <w:bookmarkStart w:name="z91" w:id="8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81"/>
    <w:bookmarkStart w:name="z92" w:id="8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2"/>
    <w:bookmarkStart w:name="z93" w:id="83"/>
    <w:p>
      <w:pPr>
        <w:spacing w:after="0"/>
        <w:ind w:left="0"/>
        <w:jc w:val="both"/>
      </w:pPr>
      <w:r>
        <w:rPr>
          <w:rFonts w:ascii="Times New Roman"/>
          <w:b w:val="false"/>
          <w:i w:val="false"/>
          <w:color w:val="000000"/>
          <w:sz w:val="28"/>
        </w:rPr>
        <w:t>
      SРн = (SР2 х 100/SР1) х 0,3, где:</w:t>
      </w:r>
    </w:p>
    <w:bookmarkEnd w:id="83"/>
    <w:bookmarkStart w:name="z94" w:id="84"/>
    <w:p>
      <w:pPr>
        <w:spacing w:after="0"/>
        <w:ind w:left="0"/>
        <w:jc w:val="both"/>
      </w:pPr>
      <w:r>
        <w:rPr>
          <w:rFonts w:ascii="Times New Roman"/>
          <w:b w:val="false"/>
          <w:i w:val="false"/>
          <w:color w:val="000000"/>
          <w:sz w:val="28"/>
        </w:rPr>
        <w:t>
      SРн – показатель незначительных нарушений;</w:t>
      </w:r>
    </w:p>
    <w:bookmarkEnd w:id="84"/>
    <w:bookmarkStart w:name="z95" w:id="85"/>
    <w:p>
      <w:pPr>
        <w:spacing w:after="0"/>
        <w:ind w:left="0"/>
        <w:jc w:val="both"/>
      </w:pPr>
      <w:r>
        <w:rPr>
          <w:rFonts w:ascii="Times New Roman"/>
          <w:b w:val="false"/>
          <w:i w:val="false"/>
          <w:color w:val="000000"/>
          <w:sz w:val="28"/>
        </w:rPr>
        <w:t>
      SР1 – требуемое количество незначительных нарушений;</w:t>
      </w:r>
    </w:p>
    <w:bookmarkEnd w:id="85"/>
    <w:bookmarkStart w:name="z96" w:id="86"/>
    <w:p>
      <w:pPr>
        <w:spacing w:after="0"/>
        <w:ind w:left="0"/>
        <w:jc w:val="both"/>
      </w:pPr>
      <w:r>
        <w:rPr>
          <w:rFonts w:ascii="Times New Roman"/>
          <w:b w:val="false"/>
          <w:i w:val="false"/>
          <w:color w:val="000000"/>
          <w:sz w:val="28"/>
        </w:rPr>
        <w:t>
      SР2 – количество выявленных незначительных нарушений;</w:t>
      </w:r>
    </w:p>
    <w:bookmarkEnd w:id="86"/>
    <w:bookmarkStart w:name="z97" w:id="87"/>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87"/>
    <w:bookmarkStart w:name="z98" w:id="88"/>
    <w:p>
      <w:pPr>
        <w:spacing w:after="0"/>
        <w:ind w:left="0"/>
        <w:jc w:val="both"/>
      </w:pPr>
      <w:r>
        <w:rPr>
          <w:rFonts w:ascii="Times New Roman"/>
          <w:b w:val="false"/>
          <w:i w:val="false"/>
          <w:color w:val="000000"/>
          <w:sz w:val="28"/>
        </w:rPr>
        <w:t>
      SР = SРз + SРн, где:</w:t>
      </w:r>
    </w:p>
    <w:bookmarkEnd w:id="88"/>
    <w:bookmarkStart w:name="z99" w:id="89"/>
    <w:p>
      <w:pPr>
        <w:spacing w:after="0"/>
        <w:ind w:left="0"/>
        <w:jc w:val="both"/>
      </w:pPr>
      <w:r>
        <w:rPr>
          <w:rFonts w:ascii="Times New Roman"/>
          <w:b w:val="false"/>
          <w:i w:val="false"/>
          <w:color w:val="000000"/>
          <w:sz w:val="28"/>
        </w:rPr>
        <w:t>
      SР – показатель степени риска по нарушениям;</w:t>
      </w:r>
    </w:p>
    <w:bookmarkEnd w:id="89"/>
    <w:bookmarkStart w:name="z100" w:id="90"/>
    <w:p>
      <w:pPr>
        <w:spacing w:after="0"/>
        <w:ind w:left="0"/>
        <w:jc w:val="both"/>
      </w:pPr>
      <w:r>
        <w:rPr>
          <w:rFonts w:ascii="Times New Roman"/>
          <w:b w:val="false"/>
          <w:i w:val="false"/>
          <w:color w:val="000000"/>
          <w:sz w:val="28"/>
        </w:rPr>
        <w:t>
      SРз – показатель значительных нарушений;</w:t>
      </w:r>
    </w:p>
    <w:bookmarkEnd w:id="90"/>
    <w:bookmarkStart w:name="z101" w:id="91"/>
    <w:p>
      <w:pPr>
        <w:spacing w:after="0"/>
        <w:ind w:left="0"/>
        <w:jc w:val="both"/>
      </w:pPr>
      <w:r>
        <w:rPr>
          <w:rFonts w:ascii="Times New Roman"/>
          <w:b w:val="false"/>
          <w:i w:val="false"/>
          <w:color w:val="000000"/>
          <w:sz w:val="28"/>
        </w:rPr>
        <w:t>
      SРн – показатель незначительных нарушений.</w:t>
      </w:r>
    </w:p>
    <w:bookmarkEnd w:id="91"/>
    <w:bookmarkStart w:name="z102" w:id="92"/>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2"/>
    <w:bookmarkStart w:name="z103" w:id="93"/>
    <w:p>
      <w:pPr>
        <w:spacing w:after="0"/>
        <w:ind w:left="0"/>
        <w:jc w:val="both"/>
      </w:pPr>
      <w:r>
        <w:rPr>
          <w:rFonts w:ascii="Times New Roman"/>
          <w:b w:val="false"/>
          <w:i w:val="false"/>
          <w:color w:val="000000"/>
          <w:sz w:val="28"/>
        </w:rPr>
        <w:t>
      12. Расчет показателя степени риска по субъективным критериям, определенным в соответствии с пунктом 7 настоящих Критериев, производится по шкале от 0 до 100 баллов и осуществляется по следующей формуле:</w:t>
      </w:r>
    </w:p>
    <w:bookmarkEnd w:id="93"/>
    <w:bookmarkStart w:name="z10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1739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5"/>
    <w:p>
      <w:pPr>
        <w:spacing w:after="0"/>
        <w:ind w:left="0"/>
        <w:jc w:val="both"/>
      </w:pPr>
      <w:r>
        <w:rPr>
          <w:rFonts w:ascii="Times New Roman"/>
          <w:b w:val="false"/>
          <w:i w:val="false"/>
          <w:color w:val="000000"/>
          <w:sz w:val="28"/>
        </w:rPr>
        <w:t>
      xi – показатель субъективного критерия;</w:t>
      </w:r>
    </w:p>
    <w:bookmarkEnd w:id="95"/>
    <w:bookmarkStart w:name="z106" w:id="96"/>
    <w:p>
      <w:pPr>
        <w:spacing w:after="0"/>
        <w:ind w:left="0"/>
        <w:jc w:val="both"/>
      </w:pPr>
      <w:r>
        <w:rPr>
          <w:rFonts w:ascii="Times New Roman"/>
          <w:b w:val="false"/>
          <w:i w:val="false"/>
          <w:color w:val="000000"/>
          <w:sz w:val="28"/>
        </w:rPr>
        <w:t>
      wi – удельный вес показателя субъективного критерия xi;</w:t>
      </w:r>
    </w:p>
    <w:bookmarkEnd w:id="96"/>
    <w:bookmarkStart w:name="z107" w:id="97"/>
    <w:p>
      <w:pPr>
        <w:spacing w:after="0"/>
        <w:ind w:left="0"/>
        <w:jc w:val="both"/>
      </w:pPr>
      <w:r>
        <w:rPr>
          <w:rFonts w:ascii="Times New Roman"/>
          <w:b w:val="false"/>
          <w:i w:val="false"/>
          <w:color w:val="000000"/>
          <w:sz w:val="28"/>
        </w:rPr>
        <w:t>
      n – количество показателей.</w:t>
      </w:r>
    </w:p>
    <w:bookmarkEnd w:id="97"/>
    <w:bookmarkStart w:name="z108" w:id="98"/>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8 настоящих Критериев, включается в расчет показателя степени риска по субъективным критериям</w:t>
      </w:r>
    </w:p>
    <w:bookmarkEnd w:id="98"/>
    <w:bookmarkStart w:name="z109" w:id="99"/>
    <w:p>
      <w:pPr>
        <w:spacing w:after="0"/>
        <w:ind w:left="0"/>
        <w:jc w:val="both"/>
      </w:pPr>
      <w:r>
        <w:rPr>
          <w:rFonts w:ascii="Times New Roman"/>
          <w:b w:val="false"/>
          <w:i w:val="false"/>
          <w:color w:val="000000"/>
          <w:sz w:val="28"/>
        </w:rPr>
        <w:t>
      13.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9"/>
    <w:bookmarkStart w:name="z11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765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01"/>
    <w:bookmarkStart w:name="z112" w:id="102"/>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2"/>
    <w:bookmarkStart w:name="z113" w:id="103"/>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03"/>
    <w:bookmarkStart w:name="z114" w:id="104"/>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 рассчитанный в соответствии с пунктом 10 настоящих Критериев.</w:t>
      </w:r>
    </w:p>
    <w:bookmarkEnd w:id="104"/>
    <w:bookmarkStart w:name="z115" w:id="105"/>
    <w:p>
      <w:pPr>
        <w:spacing w:after="0"/>
        <w:ind w:left="0"/>
        <w:jc w:val="both"/>
      </w:pPr>
      <w:r>
        <w:rPr>
          <w:rFonts w:ascii="Times New Roman"/>
          <w:b w:val="false"/>
          <w:i w:val="false"/>
          <w:color w:val="000000"/>
          <w:sz w:val="28"/>
        </w:rPr>
        <w:t>
      14.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05"/>
    <w:bookmarkStart w:name="z116" w:id="106"/>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106"/>
    <w:bookmarkStart w:name="z117" w:id="107"/>
    <w:p>
      <w:pPr>
        <w:spacing w:after="0"/>
        <w:ind w:left="0"/>
        <w:jc w:val="both"/>
      </w:pPr>
      <w:r>
        <w:rPr>
          <w:rFonts w:ascii="Times New Roman"/>
          <w:b w:val="false"/>
          <w:i w:val="false"/>
          <w:color w:val="000000"/>
          <w:sz w:val="28"/>
        </w:rPr>
        <w:t>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со статьей 144-2 Кодекса.</w:t>
      </w:r>
    </w:p>
    <w:bookmarkEnd w:id="107"/>
    <w:bookmarkStart w:name="z118" w:id="108"/>
    <w:p>
      <w:pPr>
        <w:spacing w:after="0"/>
        <w:ind w:left="0"/>
        <w:jc w:val="both"/>
      </w:pPr>
      <w:r>
        <w:rPr>
          <w:rFonts w:ascii="Times New Roman"/>
          <w:b w:val="false"/>
          <w:i w:val="false"/>
          <w:color w:val="000000"/>
          <w:sz w:val="28"/>
        </w:rPr>
        <w:t>
      16.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08"/>
    <w:bookmarkStart w:name="z119" w:id="109"/>
    <w:p>
      <w:pPr>
        <w:spacing w:after="0"/>
        <w:ind w:left="0"/>
        <w:jc w:val="left"/>
      </w:pPr>
      <w:r>
        <w:rPr>
          <w:rFonts w:ascii="Times New Roman"/>
          <w:b/>
          <w:i w:val="false"/>
          <w:color w:val="000000"/>
        </w:rPr>
        <w:t xml:space="preserve"> Глава 4. Управление рисками</w:t>
      </w:r>
    </w:p>
    <w:bookmarkEnd w:id="109"/>
    <w:bookmarkStart w:name="z120" w:id="110"/>
    <w:p>
      <w:pPr>
        <w:spacing w:after="0"/>
        <w:ind w:left="0"/>
        <w:jc w:val="both"/>
      </w:pPr>
      <w:r>
        <w:rPr>
          <w:rFonts w:ascii="Times New Roman"/>
          <w:b w:val="false"/>
          <w:i w:val="false"/>
          <w:color w:val="000000"/>
          <w:sz w:val="28"/>
        </w:rPr>
        <w:t>
      17.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110"/>
    <w:bookmarkStart w:name="z121" w:id="111"/>
    <w:p>
      <w:pPr>
        <w:spacing w:after="0"/>
        <w:ind w:left="0"/>
        <w:jc w:val="both"/>
      </w:pPr>
      <w:r>
        <w:rPr>
          <w:rFonts w:ascii="Times New Roman"/>
          <w:b w:val="false"/>
          <w:i w:val="false"/>
          <w:color w:val="000000"/>
          <w:sz w:val="28"/>
        </w:rPr>
        <w:t>
      18.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11"/>
    <w:bookmarkStart w:name="z122" w:id="112"/>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12"/>
    <w:bookmarkStart w:name="z123" w:id="113"/>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113"/>
    <w:bookmarkStart w:name="z124" w:id="114"/>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14"/>
    <w:bookmarkStart w:name="z125" w:id="115"/>
    <w:p>
      <w:pPr>
        <w:spacing w:after="0"/>
        <w:ind w:left="0"/>
        <w:jc w:val="both"/>
      </w:pPr>
      <w:r>
        <w:rPr>
          <w:rFonts w:ascii="Times New Roman"/>
          <w:b w:val="false"/>
          <w:i w:val="false"/>
          <w:color w:val="000000"/>
          <w:sz w:val="28"/>
        </w:rPr>
        <w:t xml:space="preserve">
      19. Регулирующие государственные органы, а также государственные органы при осуществлении государственного контроля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141 Кодекса.</w:t>
      </w:r>
    </w:p>
    <w:bookmarkEnd w:id="115"/>
    <w:bookmarkStart w:name="z126" w:id="116"/>
    <w:p>
      <w:pPr>
        <w:spacing w:after="0"/>
        <w:ind w:left="0"/>
        <w:jc w:val="both"/>
      </w:pPr>
      <w:r>
        <w:rPr>
          <w:rFonts w:ascii="Times New Roman"/>
          <w:b w:val="false"/>
          <w:i w:val="false"/>
          <w:color w:val="000000"/>
          <w:sz w:val="28"/>
        </w:rPr>
        <w:t>
      20.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116"/>
    <w:bookmarkStart w:name="z127" w:id="117"/>
    <w:p>
      <w:pPr>
        <w:spacing w:after="0"/>
        <w:ind w:left="0"/>
        <w:jc w:val="both"/>
      </w:pPr>
      <w:r>
        <w:rPr>
          <w:rFonts w:ascii="Times New Roman"/>
          <w:b w:val="false"/>
          <w:i w:val="false"/>
          <w:color w:val="000000"/>
          <w:sz w:val="28"/>
        </w:rPr>
        <w:t>
      К смягчающим индикаторам относится:</w:t>
      </w:r>
    </w:p>
    <w:bookmarkEnd w:id="117"/>
    <w:bookmarkStart w:name="z128" w:id="118"/>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118"/>
    <w:bookmarkStart w:name="z129" w:id="119"/>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119"/>
    <w:bookmarkStart w:name="z130" w:id="120"/>
    <w:p>
      <w:pPr>
        <w:spacing w:after="0"/>
        <w:ind w:left="0"/>
        <w:jc w:val="both"/>
      </w:pPr>
      <w:r>
        <w:rPr>
          <w:rFonts w:ascii="Times New Roman"/>
          <w:b w:val="false"/>
          <w:i w:val="false"/>
          <w:color w:val="000000"/>
          <w:sz w:val="28"/>
        </w:rPr>
        <w:t xml:space="preserve">
      21.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 </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Критериям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совместного приказа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p>
    <w:bookmarkStart w:name="z133" w:id="121"/>
    <w:p>
      <w:pPr>
        <w:spacing w:after="0"/>
        <w:ind w:left="0"/>
        <w:jc w:val="left"/>
      </w:pPr>
      <w:r>
        <w:rPr>
          <w:rFonts w:ascii="Times New Roman"/>
          <w:b/>
          <w:i w:val="false"/>
          <w:color w:val="000000"/>
        </w:rPr>
        <w:t xml:space="preserve"> Степени нарушений требований к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w:t>
      </w:r>
    </w:p>
    <w:bookmarkEnd w:id="121"/>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 за исключением случаев, передаче в доверительное управление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передаваемых в доверительное управление активов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Получение согласия уполномоченного органа на:</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2) реорганизацию или ликвидацию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 предоставлению регулируемой услуги по тарифу, утвержденному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дополнительных требований, не относящихся к предоставляемой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запроса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одного источника;</w:t>
            </w:r>
          </w:p>
          <w:p>
            <w:pPr>
              <w:spacing w:after="20"/>
              <w:ind w:left="20"/>
              <w:jc w:val="both"/>
            </w:pPr>
            <w:r>
              <w:rPr>
                <w:rFonts w:ascii="Times New Roman"/>
                <w:b w:val="false"/>
                <w:i w:val="false"/>
                <w:color w:val="000000"/>
                <w:sz w:val="20"/>
              </w:rPr>
              <w:t>
4) через товарные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уполномоченному органу информацию о портале, на котором осуществляются закупки, с указанием ссылки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действия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вступления в силу договора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 представлены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расходов на эксплуатацию, техническое обслуживание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шести рабочих дней со дня вскрытия конкурсных заявок, формирование и размещение на портале протокола об итогах конкурса по закупкам товаров, работ, услуг, подписанный электронной цифровой подписью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и другие основные условия каждой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изложение оценки и сопоставления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переченем закупаемых субъектом естественной монополии товаров, работ, услуг, затраты на которые учитываются при утверждении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оно превышает сумму, выделенную на закупки;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оно не соответствует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представления менее двух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3"/>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4"/>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судебными исполнителями;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приватизации государственного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с приложением материалов за предыдущий календарный год:</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пояснительная записка об исполнении тарифной сметы с объяснением причин ее неисполнения;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 прибылях и убытках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реализации смет затрат, направленных на ремонт, не приводящий к росту стоимости основных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материалы, подтверждающие фактические затраты субъекта по тарифной смете (копии договоров, актов выполненных работ, накладных, счетов-фактур,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местного исполнительного органа с информацией о внедрении субъектом более эффективных методов и технологий предоставления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конкурсных (тендерных)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сверок с потребителями объемов предоставленных регулируемых услуг и выставленные счет-фактуры к оплате, за исключением сельхозтоваропроизводителей (СХТП), по которым предоставляется реестр объемов потребления регулируемых услуг с указанием объемов и сумм к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местного исполнительного органа с информацией о фактических объемах предоставленных регулируемых услуг;</w:t>
            </w:r>
          </w:p>
          <w:p>
            <w:pPr>
              <w:spacing w:after="20"/>
              <w:ind w:left="20"/>
              <w:jc w:val="both"/>
            </w:pPr>
            <w:r>
              <w:rPr>
                <w:rFonts w:ascii="Times New Roman"/>
                <w:b w:val="false"/>
                <w:i w:val="false"/>
                <w:color w:val="000000"/>
                <w:sz w:val="20"/>
              </w:rPr>
              <w:t>
6) отчетность по формам,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6"/>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инвестиционной программы с приложением:</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о плановых и фактических объемах предоставляемых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 прибылях и убытках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фактических условиях и размерах финансирования инвестиционной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разъяснения причин отклонения достигнутых фактических показателей от показателей в утвержденной инвестиционной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p>
            <w:pPr>
              <w:spacing w:after="20"/>
              <w:ind w:left="20"/>
              <w:jc w:val="both"/>
            </w:pPr>
            <w:r>
              <w:rPr>
                <w:rFonts w:ascii="Times New Roman"/>
                <w:b w:val="false"/>
                <w:i w:val="false"/>
                <w:color w:val="000000"/>
                <w:sz w:val="20"/>
              </w:rPr>
              <w:t>
7) заключение по итогам проведения общественного мониторинга и (или) технической экспертизы исполнения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кредитные соглашения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7"/>
          <w:p>
            <w:pPr>
              <w:spacing w:after="20"/>
              <w:ind w:left="20"/>
              <w:jc w:val="both"/>
            </w:pPr>
            <w:r>
              <w:rPr>
                <w:rFonts w:ascii="Times New Roman"/>
                <w:b w:val="false"/>
                <w:i w:val="false"/>
                <w:color w:val="000000"/>
                <w:sz w:val="20"/>
              </w:rPr>
              <w:t xml:space="preserve">
Информирование уполномоченного органа за месяц до проведения отчета перед потребителями и иными заинтересованными лицами: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отчеты субъекта естественной монополии перед потребителями и иными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исполнении утвержденной тарифной сметы;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исполнении утвержденной инвестиционной программы; </w:t>
            </w:r>
          </w:p>
          <w:p>
            <w:pPr>
              <w:spacing w:after="20"/>
              <w:ind w:left="20"/>
              <w:jc w:val="both"/>
            </w:pPr>
            <w:r>
              <w:rPr>
                <w:rFonts w:ascii="Times New Roman"/>
                <w:b w:val="false"/>
                <w:i w:val="false"/>
                <w:color w:val="000000"/>
                <w:sz w:val="20"/>
              </w:rPr>
              <w:t>
</w:t>
            </w:r>
            <w:r>
              <w:rPr>
                <w:rFonts w:ascii="Times New Roman"/>
                <w:b w:val="false"/>
                <w:i w:val="false"/>
                <w:color w:val="000000"/>
                <w:sz w:val="20"/>
              </w:rPr>
              <w:t>о соблюдении показателей качества и надежности регулируемых услуг;</w:t>
            </w:r>
          </w:p>
          <w:p>
            <w:pPr>
              <w:spacing w:after="20"/>
              <w:ind w:left="20"/>
              <w:jc w:val="both"/>
            </w:pPr>
            <w:r>
              <w:rPr>
                <w:rFonts w:ascii="Times New Roman"/>
                <w:b w:val="false"/>
                <w:i w:val="false"/>
                <w:color w:val="000000"/>
                <w:sz w:val="20"/>
              </w:rPr>
              <w:t>
о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уполномоченному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8"/>
          <w:p>
            <w:pPr>
              <w:spacing w:after="20"/>
              <w:ind w:left="20"/>
              <w:jc w:val="both"/>
            </w:pPr>
            <w:r>
              <w:rPr>
                <w:rFonts w:ascii="Times New Roman"/>
                <w:b w:val="false"/>
                <w:i w:val="false"/>
                <w:color w:val="000000"/>
                <w:sz w:val="20"/>
              </w:rPr>
              <w:t>
Не учитывание в затратной части тарифа следующих расходов:</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Этапы включения затрат на содержание и ремонт определяются уполномоченном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судебные издержки;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безнадежная задолженность;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штрафы и пени за сокрытие (занижение)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убытки от хищений;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 приобретение, аренду и содержание квартир, жилых зданий и сооружений, мест в общежитиях и гостиницах для персонала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 оплате услуг поликлиник по договорам, заключенным с органами здравоохранения на предоставление своим работникам медицинской помощи; 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28) на предоставление всех видов спонсорской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w:t>
            </w:r>
            <w:r>
              <w:rPr>
                <w:rFonts w:ascii="Times New Roman"/>
                <w:b w:val="false"/>
                <w:i w:val="false"/>
                <w:color w:val="000000"/>
                <w:sz w:val="20"/>
              </w:rPr>
              <w:t>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официальных интернет-ресурсов и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9"/>
          <w:p>
            <w:pPr>
              <w:spacing w:after="20"/>
              <w:ind w:left="20"/>
              <w:jc w:val="both"/>
            </w:pPr>
            <w:r>
              <w:rPr>
                <w:rFonts w:ascii="Times New Roman"/>
                <w:b w:val="false"/>
                <w:i w:val="false"/>
                <w:color w:val="000000"/>
                <w:sz w:val="20"/>
              </w:rPr>
              <w:t>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0"/>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Критериям оценки степени риска субъектам естественных монополий, осуществляющим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совместного приказа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p>
    <w:bookmarkStart w:name="z274" w:id="14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41"/>
    <w:bookmarkStart w:name="z275" w:id="142"/>
    <w:p>
      <w:pPr>
        <w:spacing w:after="0"/>
        <w:ind w:left="0"/>
        <w:jc w:val="left"/>
      </w:pPr>
      <w:r>
        <w:rPr>
          <w:rFonts w:ascii="Times New Roman"/>
          <w:b/>
          <w:i w:val="false"/>
          <w:color w:val="000000"/>
        </w:rPr>
        <w:t xml:space="preserve"> В сферах естественных монополий ______________________________________</w:t>
      </w:r>
    </w:p>
    <w:bookmarkEnd w:id="142"/>
    <w:bookmarkStart w:name="z276" w:id="143"/>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143"/>
    <w:bookmarkStart w:name="z277" w:id="144"/>
    <w:p>
      <w:pPr>
        <w:spacing w:after="0"/>
        <w:ind w:left="0"/>
        <w:jc w:val="left"/>
      </w:pPr>
      <w:r>
        <w:rPr>
          <w:rFonts w:ascii="Times New Roman"/>
          <w:b/>
          <w:i w:val="false"/>
          <w:color w:val="000000"/>
        </w:rPr>
        <w:t xml:space="preserve"> в отношении_____________________________________________________</w:t>
      </w:r>
    </w:p>
    <w:bookmarkEnd w:id="144"/>
    <w:bookmarkStart w:name="z278" w:id="145"/>
    <w:p>
      <w:pPr>
        <w:spacing w:after="0"/>
        <w:ind w:left="0"/>
        <w:jc w:val="left"/>
      </w:pPr>
      <w:r>
        <w:rPr>
          <w:rFonts w:ascii="Times New Roman"/>
          <w:b/>
          <w:i w:val="false"/>
          <w:color w:val="000000"/>
        </w:rPr>
        <w:t xml:space="preserve"> наименование однородной группы субъектов (объектов) контроля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х</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обратился в уполномоченный орган с заявкой для утверждения тарифа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предоставления в уполномоченный орган отчетов 2 и более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официальных интернет-ресурсов государственных органов и средств массовой информации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с нарушением срока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уведомления об осуществлении деятельности не относящейся к регулируемым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79" w:id="146"/>
    <w:p>
      <w:pPr>
        <w:spacing w:after="0"/>
        <w:ind w:left="0"/>
        <w:jc w:val="both"/>
      </w:pPr>
      <w:r>
        <w:rPr>
          <w:rFonts w:ascii="Times New Roman"/>
          <w:b w:val="false"/>
          <w:i w:val="false"/>
          <w:color w:val="000000"/>
          <w:sz w:val="28"/>
        </w:rPr>
        <w:t>
      Инструкция по заполнению шаблона:</w:t>
      </w:r>
    </w:p>
    <w:bookmarkEnd w:id="146"/>
    <w:bookmarkStart w:name="z280" w:id="147"/>
    <w:p>
      <w:pPr>
        <w:spacing w:after="0"/>
        <w:ind w:left="0"/>
        <w:jc w:val="both"/>
      </w:pPr>
      <w:r>
        <w:rPr>
          <w:rFonts w:ascii="Times New Roman"/>
          <w:b w:val="false"/>
          <w:i w:val="false"/>
          <w:color w:val="000000"/>
          <w:sz w:val="28"/>
        </w:rPr>
        <w:t>
      1) Показатели субъективных критериев определяются для однородных групп субъектов (объектов) контроля сфере государственного контроля.</w:t>
      </w:r>
    </w:p>
    <w:bookmarkEnd w:id="147"/>
    <w:bookmarkStart w:name="z281" w:id="148"/>
    <w:p>
      <w:pPr>
        <w:spacing w:after="0"/>
        <w:ind w:left="0"/>
        <w:jc w:val="both"/>
      </w:pPr>
      <w:r>
        <w:rPr>
          <w:rFonts w:ascii="Times New Roman"/>
          <w:b w:val="false"/>
          <w:i w:val="false"/>
          <w:color w:val="000000"/>
          <w:sz w:val="28"/>
        </w:rPr>
        <w:t>
      2) В графе 2 указывается показатель субъективного критерия.</w:t>
      </w:r>
    </w:p>
    <w:bookmarkEnd w:id="148"/>
    <w:bookmarkStart w:name="z282" w:id="149"/>
    <w:p>
      <w:pPr>
        <w:spacing w:after="0"/>
        <w:ind w:left="0"/>
        <w:jc w:val="both"/>
      </w:pPr>
      <w:r>
        <w:rPr>
          <w:rFonts w:ascii="Times New Roman"/>
          <w:b w:val="false"/>
          <w:i w:val="false"/>
          <w:color w:val="000000"/>
          <w:sz w:val="28"/>
        </w:rPr>
        <w:t>
      3) В графе 3 указываются приоритетные источники информации.</w:t>
      </w:r>
    </w:p>
    <w:bookmarkEnd w:id="149"/>
    <w:bookmarkStart w:name="z283" w:id="150"/>
    <w:p>
      <w:pPr>
        <w:spacing w:after="0"/>
        <w:ind w:left="0"/>
        <w:jc w:val="both"/>
      </w:pPr>
      <w:r>
        <w:rPr>
          <w:rFonts w:ascii="Times New Roman"/>
          <w:b w:val="false"/>
          <w:i w:val="false"/>
          <w:color w:val="000000"/>
          <w:sz w:val="28"/>
        </w:rPr>
        <w:t>
      4) В графе 4 указывается удельный вес по значимости показателя субъективного критерия в баллах. Сумма всех строк по данной графе не должно превышать 100 баллов.</w:t>
      </w:r>
    </w:p>
    <w:bookmarkEnd w:id="150"/>
    <w:bookmarkStart w:name="z284" w:id="151"/>
    <w:p>
      <w:pPr>
        <w:spacing w:after="0"/>
        <w:ind w:left="0"/>
        <w:jc w:val="both"/>
      </w:pPr>
      <w:r>
        <w:rPr>
          <w:rFonts w:ascii="Times New Roman"/>
          <w:b w:val="false"/>
          <w:i w:val="false"/>
          <w:color w:val="000000"/>
          <w:sz w:val="28"/>
        </w:rPr>
        <w:t>
      5)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 соответствующие каждому условию. Числовые значения указываются в процентах от 0 до 100, в зависимости от повышения риска. Допустимые значения показателей субъективных критериев регламентируются нормативными правовыми актами Республики Казахстан.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bl>
    <w:bookmarkStart w:name="z286" w:id="152"/>
    <w:p>
      <w:pPr>
        <w:spacing w:after="0"/>
        <w:ind w:left="0"/>
        <w:jc w:val="left"/>
      </w:pPr>
      <w:r>
        <w:rPr>
          <w:rFonts w:ascii="Times New Roman"/>
          <w:b/>
          <w:i w:val="false"/>
          <w:color w:val="000000"/>
        </w:rPr>
        <w:t xml:space="preserve"> Проверочный лист в сфере естественных монополии по услугам подачи воды по каналам, подачи воды для орошения и регулирования поверхностного стока при помощи подпорных гидротехнических сооружений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w:t>
      </w:r>
    </w:p>
    <w:bookmarkEnd w:id="152"/>
    <w:p>
      <w:pPr>
        <w:spacing w:after="0"/>
        <w:ind w:left="0"/>
        <w:jc w:val="both"/>
      </w:pPr>
      <w:r>
        <w:rPr>
          <w:rFonts w:ascii="Times New Roman"/>
          <w:b w:val="false"/>
          <w:i w:val="false"/>
          <w:color w:val="ff0000"/>
          <w:sz w:val="28"/>
        </w:rPr>
        <w:t xml:space="preserve">
      Сноска. Проверочный лист с изменениями, внесенными совместным приказом и.о. Министра водных ресурсов и ирригации РК от 03.07.2025 </w:t>
      </w:r>
      <w:r>
        <w:rPr>
          <w:rFonts w:ascii="Times New Roman"/>
          <w:b w:val="false"/>
          <w:i w:val="false"/>
          <w:color w:val="ff0000"/>
          <w:sz w:val="28"/>
        </w:rPr>
        <w:t>№ 167-НҚ</w:t>
      </w:r>
      <w:r>
        <w:rPr>
          <w:rFonts w:ascii="Times New Roman"/>
          <w:b w:val="false"/>
          <w:i w:val="false"/>
          <w:color w:val="ff0000"/>
          <w:sz w:val="28"/>
        </w:rPr>
        <w:t xml:space="preserve"> и и.о. Министра национальной экономики РК от 11.07.2025 № 66 (вводится в действие по истечении десяти календарных дней после дня его первого официального опубликования).</w:t>
      </w:r>
    </w:p>
    <w:bookmarkStart w:name="z287" w:id="153"/>
    <w:p>
      <w:pPr>
        <w:spacing w:after="0"/>
        <w:ind w:left="0"/>
        <w:jc w:val="both"/>
      </w:pPr>
      <w:r>
        <w:rPr>
          <w:rFonts w:ascii="Times New Roman"/>
          <w:b w:val="false"/>
          <w:i w:val="false"/>
          <w:color w:val="000000"/>
          <w:sz w:val="28"/>
        </w:rPr>
        <w:t xml:space="preserve">
      В отношении субъектов естественных монополий предоставляющие услуги подачи воды по каналам, подачи воды для орошения и регулирования поверхностного стока при помощи подпорных гидротехнических сооружений </w:t>
      </w:r>
    </w:p>
    <w:bookmarkEnd w:id="15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w:t>
      </w:r>
    </w:p>
    <w:bookmarkStart w:name="z292" w:id="154"/>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w:t>
      </w:r>
    </w:p>
    <w:bookmarkEnd w:id="154"/>
    <w:bookmarkStart w:name="z293" w:id="155"/>
    <w:p>
      <w:pPr>
        <w:spacing w:after="0"/>
        <w:ind w:left="0"/>
        <w:jc w:val="both"/>
      </w:pPr>
      <w:r>
        <w:rPr>
          <w:rFonts w:ascii="Times New Roman"/>
          <w:b w:val="false"/>
          <w:i w:val="false"/>
          <w:color w:val="000000"/>
          <w:sz w:val="28"/>
        </w:rPr>
        <w:t>
      посещением субъекта (объекта) контроля __________________________________</w:t>
      </w:r>
    </w:p>
    <w:bookmarkEnd w:id="155"/>
    <w:bookmarkStart w:name="z294" w:id="156"/>
    <w:p>
      <w:pPr>
        <w:spacing w:after="0"/>
        <w:ind w:left="0"/>
        <w:jc w:val="both"/>
      </w:pPr>
      <w:r>
        <w:rPr>
          <w:rFonts w:ascii="Times New Roman"/>
          <w:b w:val="false"/>
          <w:i w:val="false"/>
          <w:color w:val="000000"/>
          <w:sz w:val="28"/>
        </w:rPr>
        <w:t>
      ______________________________________________________________________</w:t>
      </w:r>
    </w:p>
    <w:bookmarkEnd w:id="156"/>
    <w:bookmarkStart w:name="z295" w:id="157"/>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bookmarkEnd w:id="157"/>
    <w:bookmarkStart w:name="z296" w:id="158"/>
    <w:p>
      <w:pPr>
        <w:spacing w:after="0"/>
        <w:ind w:left="0"/>
        <w:jc w:val="both"/>
      </w:pPr>
      <w:r>
        <w:rPr>
          <w:rFonts w:ascii="Times New Roman"/>
          <w:b w:val="false"/>
          <w:i w:val="false"/>
          <w:color w:val="000000"/>
          <w:sz w:val="28"/>
        </w:rPr>
        <w:t>
      (объекта) контроля ______________________________________________________</w:t>
      </w:r>
    </w:p>
    <w:bookmarkEnd w:id="158"/>
    <w:bookmarkStart w:name="z297" w:id="159"/>
    <w:p>
      <w:pPr>
        <w:spacing w:after="0"/>
        <w:ind w:left="0"/>
        <w:jc w:val="both"/>
      </w:pPr>
      <w:r>
        <w:rPr>
          <w:rFonts w:ascii="Times New Roman"/>
          <w:b w:val="false"/>
          <w:i w:val="false"/>
          <w:color w:val="000000"/>
          <w:sz w:val="28"/>
        </w:rPr>
        <w:t>
      ______________________________________________________________________</w:t>
      </w:r>
    </w:p>
    <w:bookmarkEnd w:id="159"/>
    <w:bookmarkStart w:name="z298" w:id="160"/>
    <w:p>
      <w:pPr>
        <w:spacing w:after="0"/>
        <w:ind w:left="0"/>
        <w:jc w:val="both"/>
      </w:pPr>
      <w:r>
        <w:rPr>
          <w:rFonts w:ascii="Times New Roman"/>
          <w:b w:val="false"/>
          <w:i w:val="false"/>
          <w:color w:val="000000"/>
          <w:sz w:val="28"/>
        </w:rPr>
        <w:t>
      (№, дата) Наименование субъекта (объекта) контроля ________________________</w:t>
      </w:r>
    </w:p>
    <w:bookmarkEnd w:id="160"/>
    <w:bookmarkStart w:name="z299" w:id="161"/>
    <w:p>
      <w:pPr>
        <w:spacing w:after="0"/>
        <w:ind w:left="0"/>
        <w:jc w:val="both"/>
      </w:pPr>
      <w:r>
        <w:rPr>
          <w:rFonts w:ascii="Times New Roman"/>
          <w:b w:val="false"/>
          <w:i w:val="false"/>
          <w:color w:val="000000"/>
          <w:sz w:val="28"/>
        </w:rPr>
        <w:t>
      ______________________________________________________________________</w:t>
      </w:r>
    </w:p>
    <w:bookmarkEnd w:id="161"/>
    <w:bookmarkStart w:name="z300" w:id="162"/>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bookmarkEnd w:id="162"/>
    <w:bookmarkStart w:name="z301" w:id="163"/>
    <w:p>
      <w:pPr>
        <w:spacing w:after="0"/>
        <w:ind w:left="0"/>
        <w:jc w:val="both"/>
      </w:pPr>
      <w:r>
        <w:rPr>
          <w:rFonts w:ascii="Times New Roman"/>
          <w:b w:val="false"/>
          <w:i w:val="false"/>
          <w:color w:val="000000"/>
          <w:sz w:val="28"/>
        </w:rPr>
        <w:t>
      субъекта (объекта) контроля ____________________________________________</w:t>
      </w:r>
    </w:p>
    <w:bookmarkEnd w:id="163"/>
    <w:bookmarkStart w:name="z302"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303" w:id="165"/>
    <w:p>
      <w:pPr>
        <w:spacing w:after="0"/>
        <w:ind w:left="0"/>
        <w:jc w:val="both"/>
      </w:pPr>
      <w:r>
        <w:rPr>
          <w:rFonts w:ascii="Times New Roman"/>
          <w:b w:val="false"/>
          <w:i w:val="false"/>
          <w:color w:val="000000"/>
          <w:sz w:val="28"/>
        </w:rPr>
        <w:t>
      _____________________________________________________________________</w:t>
      </w:r>
    </w:p>
    <w:bookmarkEnd w:id="165"/>
    <w:bookmarkStart w:name="z304" w:id="166"/>
    <w:p>
      <w:pPr>
        <w:spacing w:after="0"/>
        <w:ind w:left="0"/>
        <w:jc w:val="both"/>
      </w:pPr>
      <w:r>
        <w:rPr>
          <w:rFonts w:ascii="Times New Roman"/>
          <w:b w:val="false"/>
          <w:i w:val="false"/>
          <w:color w:val="000000"/>
          <w:sz w:val="28"/>
        </w:rPr>
        <w:t>
      Адрес места нахождения _______________________________________________</w:t>
      </w:r>
    </w:p>
    <w:bookmarkEnd w:id="166"/>
    <w:bookmarkStart w:name="z305" w:id="167"/>
    <w:p>
      <w:pPr>
        <w:spacing w:after="0"/>
        <w:ind w:left="0"/>
        <w:jc w:val="both"/>
      </w:pPr>
      <w:r>
        <w:rPr>
          <w:rFonts w:ascii="Times New Roman"/>
          <w:b w:val="false"/>
          <w:i w:val="false"/>
          <w:color w:val="000000"/>
          <w:sz w:val="28"/>
        </w:rPr>
        <w:t>
      _____________________________________________________________________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 за исключением случаев, передаче в доверительное управление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передаваемых в доверительное управление активов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8"/>
          <w:p>
            <w:pPr>
              <w:spacing w:after="20"/>
              <w:ind w:left="20"/>
              <w:jc w:val="both"/>
            </w:pPr>
            <w:r>
              <w:rPr>
                <w:rFonts w:ascii="Times New Roman"/>
                <w:b w:val="false"/>
                <w:i w:val="false"/>
                <w:color w:val="000000"/>
                <w:sz w:val="20"/>
              </w:rPr>
              <w:t>
Получение согласия уполномоченного органа на: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2) реорганизацию или ликвидацию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Соблюдения требований по предоставлению регулируемой услуги по тарифу, утвержденному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дополнительных требований, не относящихся к предоставляемой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9"/>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запроса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одного источника;</w:t>
            </w:r>
          </w:p>
          <w:p>
            <w:pPr>
              <w:spacing w:after="20"/>
              <w:ind w:left="20"/>
              <w:jc w:val="both"/>
            </w:pPr>
            <w:r>
              <w:rPr>
                <w:rFonts w:ascii="Times New Roman"/>
                <w:b w:val="false"/>
                <w:i w:val="false"/>
                <w:color w:val="000000"/>
                <w:sz w:val="20"/>
              </w:rPr>
              <w:t>
4) через товарные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уполномоченному органу информацию о портале, на котором осуществляются закупки, с указанием ссылки на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70"/>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истечения срока действия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вступления в силу договора закупок;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1"/>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не представлены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установлен факт представления недостоверной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2"/>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3"/>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4"/>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расходов на эксплуатацию, техническое обслуживание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шести рабочих дней со дня вскрытия конкурсных заявок, формирование и размещение на портале протокола об итогах конкурса по закупкам товаров, работ, услуг, подписанный электронной цифровой подписью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5"/>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цена и другие основные условия каждой конкурсной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изложение оценки и сопоставления конкурсных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переченем закупаемых субъектом естественной монополии товаров, работ, услуг, затраты на которые учитываются при утверждении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6"/>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оно превышает сумму, выделенную на закупки;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оно не соответствует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77"/>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представления менее двух ценовых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8"/>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9"/>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судебными исполнителями;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реабилитации и банкротстве;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приватизации государственного 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0"/>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с приложением материалов за предыдущий календарный год:</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пояснительная записка об исполнении тарифной сметы с объяснением причин ее неисполнения;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 прибылях и убытках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реализации смет затрат, направленных на ремонт, не приводящий к росту стоимости основных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материалы, подтверждающие фактические затраты субъекта по тарифной смете (копии договоров, актов выполненных работ, накладных, счетов-фактур,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местного исполнительного органа с информацией о внедрении субъектом более эффективных методов и технологий предоставления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протоколы конкурсных (тендерных)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акты сверок с потребителями объемов предоставленных регулируемых услуг и выставленные счет-фактуры к оплате, за исключением сельхозтоваропроизводителей (СХТП), по которым предоставляется реестр объемов потребления регулируемых услуг с указанием объемов и сумм к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местного исполнительного органа с информацией о фактических объемах предоставленных регулируемых услуг;</w:t>
            </w:r>
          </w:p>
          <w:p>
            <w:pPr>
              <w:spacing w:after="20"/>
              <w:ind w:left="20"/>
              <w:jc w:val="both"/>
            </w:pPr>
            <w:r>
              <w:rPr>
                <w:rFonts w:ascii="Times New Roman"/>
                <w:b w:val="false"/>
                <w:i w:val="false"/>
                <w:color w:val="000000"/>
                <w:sz w:val="20"/>
              </w:rPr>
              <w:t xml:space="preserve">
6) отчетность по формам, в соответствии с правилами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1"/>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инвестиционной программы с приложением:</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о плановых и фактических объемах предоставляемых регулируемых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отчет о прибылях и убытках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фактических условиях и размерах финансирования инвестиционной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разъяснения причин отклонения достигнутых фактических показателей от показателей в утвержденной инвестиционной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p>
            <w:pPr>
              <w:spacing w:after="20"/>
              <w:ind w:left="20"/>
              <w:jc w:val="both"/>
            </w:pPr>
            <w:r>
              <w:rPr>
                <w:rFonts w:ascii="Times New Roman"/>
                <w:b w:val="false"/>
                <w:i w:val="false"/>
                <w:color w:val="000000"/>
                <w:sz w:val="20"/>
              </w:rPr>
              <w:t>
7) заключение по итогам проведения общественного мониторинга и (или) технической экспертизы исполнения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кредитные соглашения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2"/>
          <w:p>
            <w:pPr>
              <w:spacing w:after="20"/>
              <w:ind w:left="20"/>
              <w:jc w:val="both"/>
            </w:pPr>
            <w:r>
              <w:rPr>
                <w:rFonts w:ascii="Times New Roman"/>
                <w:b w:val="false"/>
                <w:i w:val="false"/>
                <w:color w:val="000000"/>
                <w:sz w:val="20"/>
              </w:rPr>
              <w:t xml:space="preserve">
Информирование уполномоченного органа за месяц до проведения отчета перед потребителями и иными заинтересованными лицами: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отчеты субъекта естественной монополии перед потребителями и иными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исполнении утвержденной тарифной сметы;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исполнении утвержденной инвестиционной программы; </w:t>
            </w:r>
          </w:p>
          <w:p>
            <w:pPr>
              <w:spacing w:after="20"/>
              <w:ind w:left="20"/>
              <w:jc w:val="both"/>
            </w:pPr>
            <w:r>
              <w:rPr>
                <w:rFonts w:ascii="Times New Roman"/>
                <w:b w:val="false"/>
                <w:i w:val="false"/>
                <w:color w:val="000000"/>
                <w:sz w:val="20"/>
              </w:rPr>
              <w:t>
</w:t>
            </w:r>
            <w:r>
              <w:rPr>
                <w:rFonts w:ascii="Times New Roman"/>
                <w:b w:val="false"/>
                <w:i w:val="false"/>
                <w:color w:val="000000"/>
                <w:sz w:val="20"/>
              </w:rPr>
              <w:t>о соблюдении показателей качества и надежности регулируемых услуг;</w:t>
            </w:r>
          </w:p>
          <w:p>
            <w:pPr>
              <w:spacing w:after="20"/>
              <w:ind w:left="20"/>
              <w:jc w:val="both"/>
            </w:pPr>
            <w:r>
              <w:rPr>
                <w:rFonts w:ascii="Times New Roman"/>
                <w:b w:val="false"/>
                <w:i w:val="false"/>
                <w:color w:val="000000"/>
                <w:sz w:val="20"/>
              </w:rPr>
              <w:t>
о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уполномоченному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3"/>
          <w:p>
            <w:pPr>
              <w:spacing w:after="20"/>
              <w:ind w:left="20"/>
              <w:jc w:val="both"/>
            </w:pPr>
            <w:r>
              <w:rPr>
                <w:rFonts w:ascii="Times New Roman"/>
                <w:b w:val="false"/>
                <w:i w:val="false"/>
                <w:color w:val="000000"/>
                <w:sz w:val="20"/>
              </w:rPr>
              <w:t>
Не учитывание в затратной части тарифа следующих расходов:</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органов.Этапы включения затрат на содержание и ремонт определяются уполномоченном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судебные издержки;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безнадежная задолженность;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штрафы и пени за сокрытие (занижение)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убытки от хищений;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 приобретение, аренду и содержание квартир, жилых зданий и сооружений, мест в общежитиях и гостиницах для персонала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28) на предоставление всех видов спонсорской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w:t>
            </w:r>
            <w:r>
              <w:rPr>
                <w:rFonts w:ascii="Times New Roman"/>
                <w:b w:val="false"/>
                <w:i w:val="false"/>
                <w:color w:val="000000"/>
                <w:sz w:val="20"/>
              </w:rPr>
              <w:t>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4"/>
          <w:p>
            <w:pPr>
              <w:spacing w:after="20"/>
              <w:ind w:left="20"/>
              <w:jc w:val="both"/>
            </w:pPr>
            <w:r>
              <w:rPr>
                <w:rFonts w:ascii="Times New Roman"/>
                <w:b w:val="false"/>
                <w:i w:val="false"/>
                <w:color w:val="000000"/>
                <w:sz w:val="20"/>
              </w:rPr>
              <w:t>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5"/>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186"/>
    <w:p>
      <w:pPr>
        <w:spacing w:after="0"/>
        <w:ind w:left="0"/>
        <w:jc w:val="both"/>
      </w:pPr>
      <w:r>
        <w:rPr>
          <w:rFonts w:ascii="Times New Roman"/>
          <w:b w:val="false"/>
          <w:i w:val="false"/>
          <w:color w:val="000000"/>
          <w:sz w:val="28"/>
        </w:rPr>
        <w:t>
      Должностное (-ые) лицо (а) ____________________________ _______________</w:t>
      </w:r>
    </w:p>
    <w:bookmarkEnd w:id="186"/>
    <w:bookmarkStart w:name="z446" w:id="187"/>
    <w:p>
      <w:pPr>
        <w:spacing w:after="0"/>
        <w:ind w:left="0"/>
        <w:jc w:val="both"/>
      </w:pPr>
      <w:r>
        <w:rPr>
          <w:rFonts w:ascii="Times New Roman"/>
          <w:b w:val="false"/>
          <w:i w:val="false"/>
          <w:color w:val="000000"/>
          <w:sz w:val="28"/>
        </w:rPr>
        <w:t>
                                                                     должность                                 подпись</w:t>
      </w:r>
    </w:p>
    <w:bookmarkEnd w:id="187"/>
    <w:bookmarkStart w:name="z447"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448" w:id="189"/>
    <w:p>
      <w:pPr>
        <w:spacing w:after="0"/>
        <w:ind w:left="0"/>
        <w:jc w:val="both"/>
      </w:pPr>
      <w:r>
        <w:rPr>
          <w:rFonts w:ascii="Times New Roman"/>
          <w:b w:val="false"/>
          <w:i w:val="false"/>
          <w:color w:val="000000"/>
          <w:sz w:val="28"/>
        </w:rPr>
        <w:t>
                            фамилия, имя, отчество (при его наличии)</w:t>
      </w:r>
    </w:p>
    <w:bookmarkEnd w:id="189"/>
    <w:bookmarkStart w:name="z449" w:id="190"/>
    <w:p>
      <w:pPr>
        <w:spacing w:after="0"/>
        <w:ind w:left="0"/>
        <w:jc w:val="both"/>
      </w:pPr>
      <w:r>
        <w:rPr>
          <w:rFonts w:ascii="Times New Roman"/>
          <w:b w:val="false"/>
          <w:i w:val="false"/>
          <w:color w:val="000000"/>
          <w:sz w:val="28"/>
        </w:rPr>
        <w:t>
      Руководитель субъекта (объекта) контроля ____________________ ___________</w:t>
      </w:r>
    </w:p>
    <w:bookmarkEnd w:id="190"/>
    <w:bookmarkStart w:name="z450" w:id="191"/>
    <w:p>
      <w:pPr>
        <w:spacing w:after="0"/>
        <w:ind w:left="0"/>
        <w:jc w:val="both"/>
      </w:pPr>
      <w:r>
        <w:rPr>
          <w:rFonts w:ascii="Times New Roman"/>
          <w:b w:val="false"/>
          <w:i w:val="false"/>
          <w:color w:val="000000"/>
          <w:sz w:val="28"/>
        </w:rPr>
        <w:t>
                                                                                           должность                 подпись</w:t>
      </w:r>
    </w:p>
    <w:bookmarkEnd w:id="191"/>
    <w:bookmarkStart w:name="z451"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452" w:id="193"/>
    <w:p>
      <w:pPr>
        <w:spacing w:after="0"/>
        <w:ind w:left="0"/>
        <w:jc w:val="both"/>
      </w:pPr>
      <w:r>
        <w:rPr>
          <w:rFonts w:ascii="Times New Roman"/>
          <w:b w:val="false"/>
          <w:i w:val="false"/>
          <w:color w:val="000000"/>
          <w:sz w:val="28"/>
        </w:rPr>
        <w:t>
      фамилия, имя, отчество (при его наличии)</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