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e084" w14:textId="18be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14 сентября 2021 года № 445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марта 2025 года № 93. Зарегистрирован в Министерстве юстиции Республики Казахстан 18 марта 2025 года № 35837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сентября 2021 года № 445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 (зарегистрирован в Реестре государственной регистрации нормативных правовых актов № 24401)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Кадровые службы по месту работы кандидата на обучение по образовательным программам с сокращенным сроком обучения формируют учебные дела и направляют в специальное учебное заведение МЧС до 1 июля года поступления.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дела содержат: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сотрудника (в произвольной форме);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служебную характеристику с рекомендацией о направлении на обучение (в произвольной форме);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об образовании;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ЕНТ, за исключением лиц, отслуживших срочную воинскую службу и прошедших конкурсный отбор;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3х4 см.";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Кандидаты на обучение по образовательным программам с сокращенным сроком проходят собеседование.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Собеседование проводится для проверки знаний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"О гражданской защите",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учебу из числа действующих сотрудников ОГЗ освобождаются от медицинского освидетельствования и проверки физической подготовки.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учебу из числа граждан, отслуживших срочную воинскую службу и прошедших конкурсный отбор, освобождаются от проверки физической подготовки.";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 основании данных, содержащихся в ведомостях по сдаче отдельных видов спортивных упражнений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составляется сводная ведомость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представляется в приемную комиссию специального учебного заведения МЧС.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сводной ведомости содержатся сведения о сдаче кандидатом нормативов по физической подготовке, которые доводятся до сведения кандидатов и вывешиваются на информационном стенде специального учебного заведения МЧС, а также размещаются на интернет-ресурсе специального учебного заведения МЧС в день сдачи кандидатом последнего норматива.";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Зачисление в специальное учебное заведение МЧС на обучение по образовательным программам с сокращенным сроком производится по конкурсу по результатам собеседования.";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специальное 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№____ приемной комиссии о зачислении кандидатов в число курсантов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</w:tr>
    </w:tbl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 в составе: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приемной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приемной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кандидатов на учебу, РЕШИЛА: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органах гражданской защиты в Вооруженных силах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приема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медицинским показателям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профессионально-психологическим показателям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показателям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приема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аттестата/диплома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Комплектующий орган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приемной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чтения (язык обучения)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1 (Математика)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предмет 2 (Физика)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приемной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специальное 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по сдаче отдельных видов спортивных упражнений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________20___год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</w:tr>
    </w:tbl>
    <w:p>
      <w:pPr>
        <w:spacing w:after="0"/>
        <w:ind w:left="0"/>
        <w:jc w:val="both"/>
      </w:pPr>
      <w:bookmarkStart w:name="z47" w:id="29"/>
      <w:r>
        <w:rPr>
          <w:rFonts w:ascii="Times New Roman"/>
          <w:b w:val="false"/>
          <w:i w:val="false"/>
          <w:color w:val="000000"/>
          <w:sz w:val="28"/>
        </w:rPr>
        <w:t>
      по нижестоящему виду спортивных упражнений: _____________________.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спортивного упражнения)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упражнения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кандидата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0"/>
      <w:r>
        <w:rPr>
          <w:rFonts w:ascii="Times New Roman"/>
          <w:b w:val="false"/>
          <w:i w:val="false"/>
          <w:color w:val="000000"/>
          <w:sz w:val="28"/>
        </w:rPr>
        <w:t>
      Члены комиссии по проверке физической подготовленности: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"Роспись кандидата" (в случае отказа от проставления росписи делается отметка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 подписи отказался")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специальное учебное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 апелляционной комиссии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________20___год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</w:tr>
    </w:tbl>
    <w:p>
      <w:pPr>
        <w:spacing w:after="0"/>
        <w:ind w:left="0"/>
        <w:jc w:val="both"/>
      </w:pPr>
      <w:bookmarkStart w:name="z53" w:id="32"/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в составе: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приемной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приемной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кандидатов на апелляцию и результаты пересдачи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апеллируемых спортивных упражнений по физической подготовке, приняла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выставить следующие оценки по нижестоящему виду спортивных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упражнений: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спортивного упражнения)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упражнения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кандидата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апелляционной комиссии: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