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6ed" w14:textId="f2b9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марта 2024 года № 64. Зарегистрирован в Департаменте юстиции Западно-Казахстанской области 26 марта 2024 года № 7348-07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 (зарегистрирован в Реестре государственной регистрации нормативных правовых актов за № 4713)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 Государственному учреждению "Управление природных ресурсов и регулирования природопользования Западно-Казахстанской области"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 №52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Жайык"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границы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Малый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Утва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Желаевского карьера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 (кадастровые номера 08-118-115-821, 08-118-115-082, 08-118-115-859, 08-118-951-030, 08-118-955-415, 08-118-952-066)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 района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водоема № 1 - 1,002; Западный берег водоема № 2 – 0,432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водных объектов месторождения Карачаганак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Пугачевский, Успеновский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Куншубай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Калминкова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Безымянная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Барбастау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Барбастау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Илек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Кировского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 и 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Кушум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Кушум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Бәйтерек, Акжаикский, 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Солянка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Солянка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озера Ядовитое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Ядовитое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и 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Багырлай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Багырлай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балки Карасу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Ембулатовка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Ембулатовка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Уленти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Уленти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Калдыгайты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и Чингирлауский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протока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 и 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Караоба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Караоба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и Бурлинский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водохранилища Рыбный Сакрыл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Рыбный Сакрыл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Битикского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Битикское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