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c75a" w14:textId="554c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17 июля 2024 года № 235. Зарегистрировано Департаментом юстиции Восточно-Казахстанской области 23 июля 2024 года № 9057-16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№349 от 26 марта 2015 года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4 декабря 2017 года № 313 "Об утверждении схемы и порядка перевозки в общеобразовательные школы детей, проживающих в отдаленных населенных пунктах Шемонаихинского района" (зарегистрировано в Реестре государственной регистрации нормативных правовых актов за № 5424).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Шемонаихинского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235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средняя школа № 3 имени Ю.А. Гагарина"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"Основная средняя школа имени Ыбырая Алтынсарина"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8326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"Первомайский комплекс "Общеобразовательная средняя школа-детский сад имени Д.М. Карбышева"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средняя школа имени Мухтара Ауэзова"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616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средняя школа имени Чокана Валиханова"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"Сугатовский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"Убинскаяобщеобразовательная средняя школа"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"Рулихинская общеобразовательная средняя школа"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постановлению 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"Октябрьский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постановлению 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 детей, проживающих в отдаленных населенных пунктах Шемонаихинского района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235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Шемонаихинского района Восточно-Казахстанской области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перевозки детей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осуществляется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высадке сопровождающие не допускают, чтобы дети: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двигаясь к двери, толкались;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74"/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Заключительные положения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