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aa41" w14:textId="db0a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 и норм их предельной заполняемости, требований к их материально- техническому и организационному обеспечению, порядка их использования, границ прилегающих территории, в которых запрещено проведение пикетирования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9 февраля 2024 года № 13/5-VIII. Зарегистрировано Департаментом юстиции Восточно-Казахстанской области 15 февраля 2024 года № 8956-16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Шемонаихинского районного маслихата: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56/5-VІ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под № 7538);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5/3-VІІ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Шемонаихинского районного маслихата от 3 сентября 2020 года № 56/5-VІ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под № 8784).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13/5-VIII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аппарата акима города Шемонаиха (город Шемонаиха, улица Бауыржана Момышұлы, 41а).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город Шемонаиха от пересечения улицы Вокзальная с улицей имени Анатолия Иванова, движение вверх по улице имени Анатолия Иванова до перекрестка с улицей Бауыржана Момышұлы, движение по улице Бауыржана Момышұлы до перекрестка с улицей Астафьева (улица Бауыржана Момышұлы,41а).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13/5-VIII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 и фотосъемку при проведении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растоянии не менее 800 метров от прилегающих территории: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