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3c4" w14:textId="31bf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28 декабря 2023 года № 16/2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2024 года № 23/2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2024-2026 годы" от 28 декабря 2023 года № 16/2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6767086,6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1142425,3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69175,7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5555485,6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6860372,2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15049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36920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21871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-108334,6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108334,6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36920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21924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93338,6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пункта 9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43500 тысяч тенге – на содержание дорог районного значения;";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23), 24) пункта 9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28058,3 тысяч тенге – на корректировку генеральных планов и разработку проектов детальной планировки районных центров;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18650,8 тысяч тенге – на поэтапную разработку и корректировке схем развития и застройки сельских населенных пунктов;";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27), 28), 29), 30) следующего содержания: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1052,3 тысяч тенге –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26676,1 тысяч тенге – на устройство детских игровых площадок в городе Мамлютка;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43426,6 тысяч тенге – на обустройство спортивно-игровой площадки в городе Мамлютка;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10524,2 тысяч тенге – на текущий ремонт освещения в городе Мамлютка;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49373,1 тысяч тенге – на текущий ремонт ограждения в городе Мамлютка.";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по видам социальной помощи отдельным категориям нуждающихся граждан на 2024 год в сумме 37287,3 тысяч тенге, согласно приложению 4.";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16/2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1142425,3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5555485,6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5555214,4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