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233e" w14:textId="0612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села Караменды и населенных пунктов Наурзумского района</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24 сентября 2024 года № 138. Зарегистрировано в Департаменте юстиции Костанайской области 3 октября 2024 года № 10273-10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Земельного Кодекса Республики Казахстан, Наурзумский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села Караменды и населенных пунктов Наурзумского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границы оценочных зон и поправочные коэффициенты к базовым ставкам платы за земельные участки села Караменды и населенных пунктов Наурзумского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bl>
    <w:bookmarkStart w:name="z14" w:id="4"/>
    <w:p>
      <w:pPr>
        <w:spacing w:after="0"/>
        <w:ind w:left="0"/>
        <w:jc w:val="left"/>
      </w:pPr>
      <w:r>
        <w:rPr>
          <w:rFonts w:ascii="Times New Roman"/>
          <w:b/>
          <w:i w:val="false"/>
          <w:color w:val="000000"/>
        </w:rPr>
        <w:t xml:space="preserve"> Проект (схема) зонирования земель села Караменды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bl>
    <w:bookmarkStart w:name="z21" w:id="6"/>
    <w:p>
      <w:pPr>
        <w:spacing w:after="0"/>
        <w:ind w:left="0"/>
        <w:jc w:val="left"/>
      </w:pPr>
      <w:r>
        <w:rPr>
          <w:rFonts w:ascii="Times New Roman"/>
          <w:b/>
          <w:i w:val="false"/>
          <w:color w:val="000000"/>
        </w:rPr>
        <w:t xml:space="preserve"> Проект (схема) зонирования земель населенных пунктов Наурзумского района</w:t>
      </w:r>
    </w:p>
    <w:bookmarkEnd w:id="6"/>
    <w:bookmarkStart w:name="z2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bl>
    <w:bookmarkStart w:name="z28" w:id="8"/>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села Караменды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Шаяхметова, улица Сатпаева, улица Б. Момышулы, улица Алтынсарина, улица Абая, улица Парковая, улица Майлина, улица Амангельды, улица Баймагамбетова, улица Байтурсынова, улица Валиханова, улица Джансугурова, улица Зеленая, улица Кабанбай батыра, улица Комсомольская, улица М. Сугур улы, улица Пионерская, улица Победы, улица Строительная, улица Транспортная, улица Чапаева, улица Шаяхметова, улица Шакшак Жанибека от пересечения с улицей Кабанбай батыра до пересечения с улицей Победы, улица Сатпаева от пересечения с улицей Шаяхметова до пересечения с улицей Победы, улица Абылайхана от пересечения с улицей Алтынсарина до пересечения с улицей Победы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Молдагуловой, улица Аэропортная, улица К. Алина, улица Степная, улица Сейфуллина, улица Ауэзова, улица Воровского, улица Докучаева, улица Жамбылская, улица Н. Сагадиева, улица Терешковой, улица Гагарина, улица Садовая, улица Карбышева, улица Энергетиков, улица Автомобилистов, улица Джангильдина, улица Мира, улица Маметовой, улица Казбек би, переулок Южный, переулок Восточный, переулок Западный, переулок Алтынсарина, переулок Амангельды, переулок Карбышева, улица Сатпаева от пересечения с улицей Победы до пересечения с автодорогой Докучаевка-Раздольное-Аралколь, улица Шакшак Жанибека от пересечения с улицей Победы до пересечения с автодорогой Докучаевка-Раздольное-Аралколь, улица Абылайхана от пересечения с улицей Победы до пересечения с автодорогой Докучаевка-Раздольное-Аралколь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bl>
    <w:bookmarkStart w:name="z34" w:id="9"/>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населенных пунктов Наурзумского района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село Шолаксай</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село Уленды</w:t>
            </w:r>
          </w:p>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село Раздольное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село Шили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Буревестник</w:t>
            </w:r>
          </w:p>
          <w:p>
            <w:pPr>
              <w:spacing w:after="20"/>
              <w:ind w:left="20"/>
              <w:jc w:val="both"/>
            </w:pPr>
            <w:r>
              <w:rPr>
                <w:rFonts w:ascii="Times New Roman"/>
                <w:b w:val="false"/>
                <w:i w:val="false"/>
                <w:color w:val="000000"/>
                <w:sz w:val="20"/>
              </w:rPr>
              <w:t>
село Кожа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село Дамды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село Мереке</w:t>
            </w:r>
          </w:p>
          <w:p>
            <w:pPr>
              <w:spacing w:after="20"/>
              <w:ind w:left="20"/>
              <w:jc w:val="both"/>
            </w:pPr>
            <w:r>
              <w:rPr>
                <w:rFonts w:ascii="Times New Roman"/>
                <w:b w:val="false"/>
                <w:i w:val="false"/>
                <w:color w:val="000000"/>
                <w:sz w:val="20"/>
              </w:rPr>
              <w:t>
село Кайга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