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e70f" w14:textId="379e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Казалинском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2024 года № 300. Зарегистрировано Департаментом юстиции Кызылординской области 31 октября 2024 года № 8565-11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 Казалинский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Казалинском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 июня 2020 года № 427 "Об определении размера и порядка оказания жилищной помощи" (зарегистрировано в Реестре государственной регистрации нормативных правовых актов за № 7507).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 № 300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Казалинском районе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получатель), постоянно зарегистрированным и проживающим в жилище в Казалинском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Совокупный доход получателя, претендующего на получение жилищной помощи, исчисляется коммунальным государственным учреждением "Казалинский районный отдел занятости и социальных программ" (далее – уполномоченный орган),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Предельно допустимый уровень расходов к совокупному доходу получателя устанавливается в размере 10 (десяти) процентов.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на проведение капитального ремонта общего имущества объекта кондоминиума для получателей жилищной помощи определяются путем соотношения площади индивидуальной собственности получателя к общей площади объекта кондоминиума.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33200).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исчисляется по следующим нормам: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- 70 киловатт;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- 140 киловатт;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- 210 киловатт;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- 10 килограмм;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- 20 килограмм;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газ: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- 10 кубических метров;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 - 20 кубических метров;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- 0,5 тонн;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в месяц - 1 тонна;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газ в отопительный сезон (на каждый месяц) - 300 кубических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ежемесячно: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квадратный метр;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квадратный метр;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увеличения арендной платы за пользование жилищем.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Получатели жилищной помощи в течение 10 (десяти) рабочих дней информируют уполномоченный орган о любых изменениях формы собственности своего жилья, состава семьи, ее совокупного дохода, несут ответственность за достоверность представленных сведений в установленном законодательством порядке.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неполных или недостоверных сведений, повлекших назначение жилищной помощи, выплата жилищной помощи прекращается, а излишние или необоснованно полученные суммы подлежат возврату получателем в добровольном порядке, а в случае отказа в установленном законодательством порядке.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10 (десяти) рабочих дней со дня установления факта излишне или необоснованно выплаченной жилищной помощи направляет получателю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за оказание жилищной помощи осуществляется в пределах средств, предусмотренных бюджетом Казалинского района на текущий финансовый год.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в срок до 25 числа месяца, следующего за месяцем принятия решения.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