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d410" w14:textId="753d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бюджета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мая 2024 года № 144. Зарегистрировано Департаментом юстиции области Жетісу 21 мая 2024 года № 212-19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бюджета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20 мая 2024 года № 144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бюджета области Жетісу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организаций, финансируемых из бюджета области Жетісу (далее - Организации) разработан в соответствии с нормами Бюджетного кодекса Республики Казахстан, Трудового кодекса Республики Казахстан, постановления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целях поощрения работников Организаций за надлежащее выполнение должностных (служебных) обязанностей, а также охватывает повышения их материальной заинтересованности в своевременном и качественном выполнении функций и задач.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Организации устанавливаются за счет средств местного бюджета, по решению соответствующих местных представительных органов.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основания и размер устанавливаемой надбавки.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Организации либо лицом его замещающим в срок не более 10-ти рабочих дней.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либо лицо его замещающий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показатели, характеризующие результаты деятельности работника, дающими право на установление стимулирующих надбавок: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работнику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Организации, до восстановления трудоспособности либо установления инвалидности.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