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69ca" w14:textId="26f6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города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30 сентября 2024 года № 151. Зарегистрировано в Департаменте юстиции области Ұлытау 7 октября 2024 года № 149-20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 (Налоговый кодекс)", Сатпаевский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схемы зонирования земель города Сатпаев с определением территорий по целевому назначению и режиму использования,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29 марта 2013 года № 130 (зарегистрировано в Реестре государственной регистрации нормативных правовых актов под № 2323), повысить ставки земельного налога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 повышения ставок земельного налога города Сатпаев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кварталы: 001, 002, 003, 004, 010, 011; территория между улицей Ердена и микрорайоном "Байқоныс"; территория между улицей Улытауской и железной дорогой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кварталы: 005, 006, 007, 008, 009; микрорайон "Байқоныс"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воинской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кварталы: 012, 020, 021,022, 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Победы, площадь Славы, сквер Шахтерской славы, сквер Независимости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автодороги, железная дорога, линия электропередач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электроподстанция, склады взрывчатых материалов, объекты хозяйственно-питьевого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общества: Горняк, Восток, Меридиан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кладбища, скотомогильники, полигоны твердо-бытовых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реки, водохранилища, водоохранные зоны и полосы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истории 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нарушенные земли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массивы: Жезказган, Геолого-разведочный пункт, Крестовский, Весовая, Перевалька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чересполосный земельный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земли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