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69ca" w14:textId="26f6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30 сентября 2024 года № 151. Зарегистрировано в Департаменте юстиции области Ұлытау 7 октября 2024 года № 149-20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Сатпаевский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Сатпаев с определением территорий по целевому назначению и режиму использования,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130 (зарегистрировано в Реестре государственной регистрации нормативных правовых актов под № 2323), повысить ставки земельного налога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 повышения ставок земельного налога города Сатпаев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001, 002, 003, 004, 010, 011; территория между улицей Ердена и микрорайоном "Байқоныс"; территория между улицей Улытауской и железной дорогой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005, 006, 007, 008, 009; микрорайон "Байқоныс"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воинской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012, 020, 021,022, 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Победы, площадь Славы, сквер Шахтерской славы, сквер Независимости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железная дорога, линия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электроподстанция, склады взрывчатых материалов, объекты хозяйственно-питьевого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общества: Горняк, Восток, Меридиан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кладбища, скотомогильники, полигоны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водохранилища, водоохранные зоны и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массивы: Жезказган, Геолого-разведочный пункт, Крестовский, Весовая, Перевалька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чересполосный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земли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