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2fa" w14:textId="34a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пестицидовбиоагентов (энтомофагов) и нормы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июня 2024 года № 161. Зарегистрировано Департаментом юстиции Актюбинской области 20 июня 2024 года № 8597-04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метолахлор, 312,5 грамм/литр + 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–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–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