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e5cf" w14:textId="812e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сентября 2024 года № 8С-26/2-24. Зарегистрировано Департаментом юстиции Акмолинской области 2 октября 2024 года № 8835-03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Ерейментауском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размера и порядка оказания жилищной помощи в Ерейментауском районе" от 28 октября 2020 года № 6С-53/2-20 (зарегистрировано в Реестре государственной регистрации нормативных правовых актов под № 8124);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28 октября 2020 года № 6С-53/2-20 "Об определении размера и порядка оказания жилищной помощи в Ерейментауском районе" от 25 августа 2023 года № 8С-7/6-23 (зарегистрировано в Реестре государственной регистрации нормативных правовых актов под № 8613-03).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8С-26/2-24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Ерейментауском районе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Ерейментауском районе,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Ерейментауского района" (далее – услугодатель).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