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14bb" w14:textId="3ba1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90. Зарегистрировано в Министерстве юстиции Республики Казахстан 31 декабря 2024 года № 35597.</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банковской деятельности,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90</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w:t>
      </w:r>
    </w:p>
    <w:bookmarkEnd w:id="10"/>
    <w:p>
      <w:pPr>
        <w:spacing w:after="0"/>
        <w:ind w:left="0"/>
        <w:jc w:val="both"/>
      </w:pPr>
      <w:bookmarkStart w:name="z17" w:id="11"/>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29.09.2025 </w:t>
      </w:r>
      <w:r>
        <w:rPr>
          <w:rFonts w:ascii="Times New Roman"/>
          <w:b w:val="false"/>
          <w:i w:val="false"/>
          <w:color w:val="000000"/>
          <w:sz w:val="28"/>
        </w:rPr>
        <w:t>№ 61</w:t>
      </w:r>
      <w:r>
        <w:rPr>
          <w:rFonts w:ascii="Times New Roman"/>
          <w:b w:val="false"/>
          <w:i w:val="false"/>
          <w:color w:val="000000"/>
          <w:sz w:val="28"/>
        </w:rPr>
        <w:t xml:space="preserve"> (вводится в действие с 01.01.2026).</w:t>
      </w:r>
    </w:p>
    <w:bookmarkStart w:name="z170" w:id="1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(зарегистрировано в Реестре государственной регистрации нормативных правовых актов под № 18186)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2" w:id="13"/>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банка, филиала банка-нерезидента Республики Казахстан (далее - банки):</w:t>
      </w:r>
    </w:p>
    <w:bookmarkEnd w:id="13"/>
    <w:bookmarkStart w:name="z173" w:id="14"/>
    <w:p>
      <w:pPr>
        <w:spacing w:after="0"/>
        <w:ind w:left="0"/>
        <w:jc w:val="both"/>
      </w:pPr>
      <w:r>
        <w:rPr>
          <w:rFonts w:ascii="Times New Roman"/>
          <w:b w:val="false"/>
          <w:i w:val="false"/>
          <w:color w:val="000000"/>
          <w:sz w:val="28"/>
        </w:rPr>
        <w:t>
      1) снижение коэффициентов ликвидности;</w:t>
      </w:r>
    </w:p>
    <w:bookmarkEnd w:id="14"/>
    <w:bookmarkStart w:name="z174" w:id="15"/>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15"/>
    <w:bookmarkStart w:name="z175" w:id="16"/>
    <w:p>
      <w:pPr>
        <w:spacing w:after="0"/>
        <w:ind w:left="0"/>
        <w:jc w:val="both"/>
      </w:pPr>
      <w:r>
        <w:rPr>
          <w:rFonts w:ascii="Times New Roman"/>
          <w:b w:val="false"/>
          <w:i w:val="false"/>
          <w:color w:val="000000"/>
          <w:sz w:val="28"/>
        </w:rPr>
        <w:t>
      3) увеличение соотношения чистых классифицированных займов к собственному капиталу;</w:t>
      </w:r>
    </w:p>
    <w:bookmarkEnd w:id="16"/>
    <w:bookmarkStart w:name="z176" w:id="17"/>
    <w:p>
      <w:pPr>
        <w:spacing w:after="0"/>
        <w:ind w:left="0"/>
        <w:jc w:val="both"/>
      </w:pPr>
      <w:r>
        <w:rPr>
          <w:rFonts w:ascii="Times New Roman"/>
          <w:b w:val="false"/>
          <w:i w:val="false"/>
          <w:color w:val="000000"/>
          <w:sz w:val="28"/>
        </w:rPr>
        <w:t>
      4)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bookmarkEnd w:id="17"/>
    <w:bookmarkStart w:name="z177" w:id="18"/>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p>
    <w:bookmarkEnd w:id="18"/>
    <w:bookmarkStart w:name="z178" w:id="19"/>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p>
    <w:bookmarkEnd w:id="19"/>
    <w:bookmarkStart w:name="z179" w:id="20"/>
    <w:p>
      <w:pPr>
        <w:spacing w:after="0"/>
        <w:ind w:left="0"/>
        <w:jc w:val="both"/>
      </w:pPr>
      <w:r>
        <w:rPr>
          <w:rFonts w:ascii="Times New Roman"/>
          <w:b w:val="false"/>
          <w:i w:val="false"/>
          <w:color w:val="000000"/>
          <w:sz w:val="28"/>
        </w:rPr>
        <w:t>
      7) снижение коэффициента рентабельности активов;</w:t>
      </w:r>
    </w:p>
    <w:bookmarkEnd w:id="20"/>
    <w:bookmarkStart w:name="z180" w:id="21"/>
    <w:p>
      <w:pPr>
        <w:spacing w:after="0"/>
        <w:ind w:left="0"/>
        <w:jc w:val="both"/>
      </w:pPr>
      <w:r>
        <w:rPr>
          <w:rFonts w:ascii="Times New Roman"/>
          <w:b w:val="false"/>
          <w:i w:val="false"/>
          <w:color w:val="000000"/>
          <w:sz w:val="28"/>
        </w:rPr>
        <w:t>
      8) снижение среднего значения отношения свободных активов в национальной валюте к обязательствам до востребования в национальной валюте;</w:t>
      </w:r>
    </w:p>
    <w:bookmarkEnd w:id="21"/>
    <w:bookmarkStart w:name="z181" w:id="22"/>
    <w:p>
      <w:pPr>
        <w:spacing w:after="0"/>
        <w:ind w:left="0"/>
        <w:jc w:val="both"/>
      </w:pPr>
      <w:r>
        <w:rPr>
          <w:rFonts w:ascii="Times New Roman"/>
          <w:b w:val="false"/>
          <w:i w:val="false"/>
          <w:color w:val="000000"/>
          <w:sz w:val="28"/>
        </w:rPr>
        <w:t>
      9) превышение отношения неработающих займов к общему объему ссудного портфеля банка без учета сформированных резервов по нему;</w:t>
      </w:r>
    </w:p>
    <w:bookmarkEnd w:id="22"/>
    <w:bookmarkStart w:name="z182" w:id="23"/>
    <w:p>
      <w:pPr>
        <w:spacing w:after="0"/>
        <w:ind w:left="0"/>
        <w:jc w:val="both"/>
      </w:pPr>
      <w:r>
        <w:rPr>
          <w:rFonts w:ascii="Times New Roman"/>
          <w:b w:val="false"/>
          <w:i w:val="false"/>
          <w:color w:val="000000"/>
          <w:sz w:val="28"/>
        </w:rPr>
        <w:t>
      10) превышение отношения среднемесячного значения операций "РЕПО" с ценными бумагами к среднемесячному значению совокупных обязательств.</w:t>
      </w:r>
    </w:p>
    <w:bookmarkEnd w:id="23"/>
    <w:bookmarkStart w:name="z183" w:id="24"/>
    <w:p>
      <w:pPr>
        <w:spacing w:after="0"/>
        <w:ind w:left="0"/>
        <w:jc w:val="both"/>
      </w:pPr>
      <w:r>
        <w:rPr>
          <w:rFonts w:ascii="Times New Roman"/>
          <w:b w:val="false"/>
          <w:i w:val="false"/>
          <w:color w:val="000000"/>
          <w:sz w:val="28"/>
        </w:rPr>
        <w:t>
      Для целей настоящего пункта:</w:t>
      </w:r>
    </w:p>
    <w:bookmarkEnd w:id="24"/>
    <w:bookmarkStart w:name="z184" w:id="25"/>
    <w:p>
      <w:pPr>
        <w:spacing w:after="0"/>
        <w:ind w:left="0"/>
        <w:jc w:val="both"/>
      </w:pPr>
      <w:r>
        <w:rPr>
          <w:rFonts w:ascii="Times New Roman"/>
          <w:b w:val="false"/>
          <w:i w:val="false"/>
          <w:color w:val="000000"/>
          <w:sz w:val="28"/>
        </w:rPr>
        <w:t xml:space="preserve">
      под неработающими займами понимаются займы, выданные юридическим и физическим лицам,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постановлением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bookmarkEnd w:id="25"/>
    <w:bookmarkStart w:name="z185" w:id="26"/>
    <w:p>
      <w:pPr>
        <w:spacing w:after="0"/>
        <w:ind w:left="0"/>
        <w:jc w:val="both"/>
      </w:pPr>
      <w:r>
        <w:rPr>
          <w:rFonts w:ascii="Times New Roman"/>
          <w:b w:val="false"/>
          <w:i w:val="false"/>
          <w:color w:val="000000"/>
          <w:sz w:val="28"/>
        </w:rPr>
        <w:t>
      под сформированными резервами понимаются резервы, сформированные в соответствии с требованиями международных стандартов финансовой отчетности;</w:t>
      </w:r>
    </w:p>
    <w:bookmarkEnd w:id="26"/>
    <w:bookmarkStart w:name="z186" w:id="27"/>
    <w:p>
      <w:pPr>
        <w:spacing w:after="0"/>
        <w:ind w:left="0"/>
        <w:jc w:val="both"/>
      </w:pPr>
      <w:r>
        <w:rPr>
          <w:rFonts w:ascii="Times New Roman"/>
          <w:b w:val="false"/>
          <w:i w:val="false"/>
          <w:color w:val="000000"/>
          <w:sz w:val="28"/>
        </w:rPr>
        <w:t>
      в расчет займов включается сумма основного долга;</w:t>
      </w:r>
    </w:p>
    <w:bookmarkEnd w:id="27"/>
    <w:bookmarkStart w:name="z187" w:id="28"/>
    <w:p>
      <w:pPr>
        <w:spacing w:after="0"/>
        <w:ind w:left="0"/>
        <w:jc w:val="both"/>
      </w:pPr>
      <w:r>
        <w:rPr>
          <w:rFonts w:ascii="Times New Roman"/>
          <w:b w:val="false"/>
          <w:i w:val="false"/>
          <w:color w:val="000000"/>
          <w:sz w:val="28"/>
        </w:rPr>
        <w:t>
      в расчете факторов, влияющих на ухудшение финансового положения банка, филиала банка-нерезидента Республики Казахстан, в соответствии с подпунктом 9) настоящего пункта учитываются кредитно-обесцененные займы, выданные с 1 января 2024 года;</w:t>
      </w:r>
    </w:p>
    <w:bookmarkEnd w:id="28"/>
    <w:bookmarkStart w:name="z188" w:id="29"/>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bookmarkEnd w:id="29"/>
    <w:bookmarkStart w:name="z18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плана мероприятий, предусматривающего меры раннего реагирования, утвержденных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1" w:id="31"/>
    <w:p>
      <w:pPr>
        <w:spacing w:after="0"/>
        <w:ind w:left="0"/>
        <w:jc w:val="both"/>
      </w:pPr>
      <w:r>
        <w:rPr>
          <w:rFonts w:ascii="Times New Roman"/>
          <w:b w:val="false"/>
          <w:i w:val="false"/>
          <w:color w:val="000000"/>
          <w:sz w:val="28"/>
        </w:rPr>
        <w:t>
      "7. Меры по улучшению фактора, предусмотренные планом мероприятий, направлены:</w:t>
      </w:r>
    </w:p>
    <w:bookmarkEnd w:id="31"/>
    <w:bookmarkStart w:name="z192" w:id="32"/>
    <w:p>
      <w:pPr>
        <w:spacing w:after="0"/>
        <w:ind w:left="0"/>
        <w:jc w:val="both"/>
      </w:pPr>
      <w:r>
        <w:rPr>
          <w:rFonts w:ascii="Times New Roman"/>
          <w:b w:val="false"/>
          <w:i w:val="false"/>
          <w:color w:val="000000"/>
          <w:sz w:val="28"/>
        </w:rPr>
        <w:t>
      1) по фактору, предусмотренному в подпункте 1) части первой пункта 1 настоящего постановления:</w:t>
      </w:r>
    </w:p>
    <w:bookmarkEnd w:id="32"/>
    <w:bookmarkStart w:name="z193" w:id="33"/>
    <w:p>
      <w:pPr>
        <w:spacing w:after="0"/>
        <w:ind w:left="0"/>
        <w:jc w:val="both"/>
      </w:pPr>
      <w:r>
        <w:rPr>
          <w:rFonts w:ascii="Times New Roman"/>
          <w:b w:val="false"/>
          <w:i w:val="false"/>
          <w:color w:val="000000"/>
          <w:sz w:val="28"/>
        </w:rPr>
        <w:t>
      на доведение коэффициентов ликвидности до уровня:</w:t>
      </w:r>
    </w:p>
    <w:bookmarkEnd w:id="33"/>
    <w:bookmarkStart w:name="z194" w:id="34"/>
    <w:p>
      <w:pPr>
        <w:spacing w:after="0"/>
        <w:ind w:left="0"/>
        <w:jc w:val="both"/>
      </w:pPr>
      <w:r>
        <w:rPr>
          <w:rFonts w:ascii="Times New Roman"/>
          <w:b w:val="false"/>
          <w:i w:val="false"/>
          <w:color w:val="000000"/>
          <w:sz w:val="28"/>
        </w:rPr>
        <w:t>
      коэффициента текущей ликвидности k4 - не менее 0,4;</w:t>
      </w:r>
    </w:p>
    <w:bookmarkEnd w:id="34"/>
    <w:bookmarkStart w:name="z195" w:id="35"/>
    <w:p>
      <w:pPr>
        <w:spacing w:after="0"/>
        <w:ind w:left="0"/>
        <w:jc w:val="both"/>
      </w:pPr>
      <w:r>
        <w:rPr>
          <w:rFonts w:ascii="Times New Roman"/>
          <w:b w:val="false"/>
          <w:i w:val="false"/>
          <w:color w:val="000000"/>
          <w:sz w:val="28"/>
        </w:rPr>
        <w:t>
      коэффициента срочной ликвидности k4-1 - не менее 1,1;</w:t>
      </w:r>
    </w:p>
    <w:bookmarkEnd w:id="35"/>
    <w:bookmarkStart w:name="z196" w:id="36"/>
    <w:p>
      <w:pPr>
        <w:spacing w:after="0"/>
        <w:ind w:left="0"/>
        <w:jc w:val="both"/>
      </w:pPr>
      <w:r>
        <w:rPr>
          <w:rFonts w:ascii="Times New Roman"/>
          <w:b w:val="false"/>
          <w:i w:val="false"/>
          <w:color w:val="000000"/>
          <w:sz w:val="28"/>
        </w:rPr>
        <w:t>
      коэффициента срочной ликвидности k4-2 - не менее 1;</w:t>
      </w:r>
    </w:p>
    <w:bookmarkEnd w:id="36"/>
    <w:bookmarkStart w:name="z197" w:id="37"/>
    <w:p>
      <w:pPr>
        <w:spacing w:after="0"/>
        <w:ind w:left="0"/>
        <w:jc w:val="both"/>
      </w:pPr>
      <w:r>
        <w:rPr>
          <w:rFonts w:ascii="Times New Roman"/>
          <w:b w:val="false"/>
          <w:i w:val="false"/>
          <w:color w:val="000000"/>
          <w:sz w:val="28"/>
        </w:rPr>
        <w:t>
      коэффициента срочной ликвидности k4-3 - не менее 0,9;</w:t>
      </w:r>
    </w:p>
    <w:bookmarkEnd w:id="37"/>
    <w:bookmarkStart w:name="z198" w:id="38"/>
    <w:p>
      <w:pPr>
        <w:spacing w:after="0"/>
        <w:ind w:left="0"/>
        <w:jc w:val="both"/>
      </w:pPr>
      <w:r>
        <w:rPr>
          <w:rFonts w:ascii="Times New Roman"/>
          <w:b w:val="false"/>
          <w:i w:val="false"/>
          <w:color w:val="000000"/>
          <w:sz w:val="28"/>
        </w:rPr>
        <w:t>
      коэффициента срочной валютной ликвидности k4-4 - не менее 1,1;</w:t>
      </w:r>
    </w:p>
    <w:bookmarkEnd w:id="38"/>
    <w:bookmarkStart w:name="z199" w:id="39"/>
    <w:p>
      <w:pPr>
        <w:spacing w:after="0"/>
        <w:ind w:left="0"/>
        <w:jc w:val="both"/>
      </w:pPr>
      <w:r>
        <w:rPr>
          <w:rFonts w:ascii="Times New Roman"/>
          <w:b w:val="false"/>
          <w:i w:val="false"/>
          <w:color w:val="000000"/>
          <w:sz w:val="28"/>
        </w:rPr>
        <w:t>
      коэффициента срочной валютной ликвидности k4-5 - не менее 1;</w:t>
      </w:r>
    </w:p>
    <w:bookmarkEnd w:id="39"/>
    <w:bookmarkStart w:name="z200" w:id="40"/>
    <w:p>
      <w:pPr>
        <w:spacing w:after="0"/>
        <w:ind w:left="0"/>
        <w:jc w:val="both"/>
      </w:pPr>
      <w:r>
        <w:rPr>
          <w:rFonts w:ascii="Times New Roman"/>
          <w:b w:val="false"/>
          <w:i w:val="false"/>
          <w:color w:val="000000"/>
          <w:sz w:val="28"/>
        </w:rPr>
        <w:t>
      коэффициента срочной валютной ликвидности k4-6 - не менее 0,9;</w:t>
      </w:r>
    </w:p>
    <w:bookmarkEnd w:id="40"/>
    <w:bookmarkStart w:name="z201" w:id="41"/>
    <w:p>
      <w:pPr>
        <w:spacing w:after="0"/>
        <w:ind w:left="0"/>
        <w:jc w:val="both"/>
      </w:pPr>
      <w:r>
        <w:rPr>
          <w:rFonts w:ascii="Times New Roman"/>
          <w:b w:val="false"/>
          <w:i w:val="false"/>
          <w:color w:val="000000"/>
          <w:sz w:val="28"/>
        </w:rPr>
        <w:t>
      2) по фактору, предусмотренному в подпункте 3) части первой пункта 1 настоящего постановления, - на доведение доли чистых классифицированных займов в собственном капитале до уровня, не превышающего 80 (восьмидесяти) процентов;</w:t>
      </w:r>
    </w:p>
    <w:bookmarkEnd w:id="41"/>
    <w:bookmarkStart w:name="z202" w:id="42"/>
    <w:p>
      <w:pPr>
        <w:spacing w:after="0"/>
        <w:ind w:left="0"/>
        <w:jc w:val="both"/>
      </w:pPr>
      <w:r>
        <w:rPr>
          <w:rFonts w:ascii="Times New Roman"/>
          <w:b w:val="false"/>
          <w:i w:val="false"/>
          <w:color w:val="000000"/>
          <w:sz w:val="28"/>
        </w:rPr>
        <w:t>
      3) по факторам, предусмотренным в подпунктах 2) и 4) части первой пункта 1 настоящего постановления, при отсутствии фактора, предусмотренного подпунктом 5) части первой пункта 1 настоящего постановления, - на доведение доли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в ссудном портфеле банка до уровня, не превышающего 10 (десяти) процентов ссудного портфеля банка;</w:t>
      </w:r>
    </w:p>
    <w:bookmarkEnd w:id="42"/>
    <w:bookmarkStart w:name="z203" w:id="43"/>
    <w:p>
      <w:pPr>
        <w:spacing w:after="0"/>
        <w:ind w:left="0"/>
        <w:jc w:val="both"/>
      </w:pPr>
      <w:r>
        <w:rPr>
          <w:rFonts w:ascii="Times New Roman"/>
          <w:b w:val="false"/>
          <w:i w:val="false"/>
          <w:color w:val="000000"/>
          <w:sz w:val="28"/>
        </w:rPr>
        <w:t>
      4) по фактору, предусмотренному в подпункте 5) части первой пункта 1 настоящего постановления, - на снижение отношения займов с просроченной задолженностью по основному долгу и (или) начисленному вознаграждению свыше 90 (девяноста) календарных дней к общему объему ссудного портфеля банка до уровня менее 10 (десяти) процентов от ссудного портфеля;</w:t>
      </w:r>
    </w:p>
    <w:bookmarkEnd w:id="43"/>
    <w:bookmarkStart w:name="z204" w:id="44"/>
    <w:p>
      <w:pPr>
        <w:spacing w:after="0"/>
        <w:ind w:left="0"/>
        <w:jc w:val="both"/>
      </w:pPr>
      <w:r>
        <w:rPr>
          <w:rFonts w:ascii="Times New Roman"/>
          <w:b w:val="false"/>
          <w:i w:val="false"/>
          <w:color w:val="000000"/>
          <w:sz w:val="28"/>
        </w:rPr>
        <w:t>
      5) по фактору, предусмотренному в подпункте 6) части первой пункта 1 настоящего постановления, - на доведение доли классифицированной дебиторской задолженности в совокупной дебиторской задолженности до уровня, не превышающего 50 (пятидесяти) процентов;</w:t>
      </w:r>
    </w:p>
    <w:bookmarkEnd w:id="44"/>
    <w:bookmarkStart w:name="z205" w:id="45"/>
    <w:p>
      <w:pPr>
        <w:spacing w:after="0"/>
        <w:ind w:left="0"/>
        <w:jc w:val="both"/>
      </w:pPr>
      <w:r>
        <w:rPr>
          <w:rFonts w:ascii="Times New Roman"/>
          <w:b w:val="false"/>
          <w:i w:val="false"/>
          <w:color w:val="000000"/>
          <w:sz w:val="28"/>
        </w:rPr>
        <w:t>
      6) по фактору, предусмотренному в подпункте 7) части первой пункта 1 настоящего постановления, - на доведение коэффициента рентабельности активов до уровня не менее 0,2 (ноль целых двух десятых) процента;</w:t>
      </w:r>
    </w:p>
    <w:bookmarkEnd w:id="45"/>
    <w:bookmarkStart w:name="z206" w:id="46"/>
    <w:p>
      <w:pPr>
        <w:spacing w:after="0"/>
        <w:ind w:left="0"/>
        <w:jc w:val="both"/>
      </w:pPr>
      <w:r>
        <w:rPr>
          <w:rFonts w:ascii="Times New Roman"/>
          <w:b w:val="false"/>
          <w:i w:val="false"/>
          <w:color w:val="000000"/>
          <w:sz w:val="28"/>
        </w:rPr>
        <w:t>
      7) по фактору, предусмотренному в подпункте 8) части первой пункта 1 настоящего постановления, - на доведение коэффициента покрытия в национальной валюте до уровня не менее 0,4 (ноль целых четыре десятых);</w:t>
      </w:r>
    </w:p>
    <w:bookmarkEnd w:id="46"/>
    <w:bookmarkStart w:name="z207" w:id="47"/>
    <w:p>
      <w:pPr>
        <w:spacing w:after="0"/>
        <w:ind w:left="0"/>
        <w:jc w:val="both"/>
      </w:pPr>
      <w:r>
        <w:rPr>
          <w:rFonts w:ascii="Times New Roman"/>
          <w:b w:val="false"/>
          <w:i w:val="false"/>
          <w:color w:val="000000"/>
          <w:sz w:val="28"/>
        </w:rPr>
        <w:t>
      8) по фактору, предусмотренному в подпункте 9) части первой пункта 1 настоящего постановления, - на снижение отношения неработающих займов к общему объему ссудного портфеля банка до уровня менее 10 (десяти) процентов от ссудного портфеля;</w:t>
      </w:r>
    </w:p>
    <w:bookmarkEnd w:id="47"/>
    <w:bookmarkStart w:name="z208" w:id="48"/>
    <w:p>
      <w:pPr>
        <w:spacing w:after="0"/>
        <w:ind w:left="0"/>
        <w:jc w:val="both"/>
      </w:pPr>
      <w:r>
        <w:rPr>
          <w:rFonts w:ascii="Times New Roman"/>
          <w:b w:val="false"/>
          <w:i w:val="false"/>
          <w:color w:val="000000"/>
          <w:sz w:val="28"/>
        </w:rPr>
        <w:t>
      9) по фактору, предусмотренному в подпункте 10) части первой пункта 1 настоящего постановления, - на снижение отношения среднемесячного значения операций "РЕПО" с ценными бумагами к среднемесячному значению совокупных обязательств до уровня:</w:t>
      </w:r>
    </w:p>
    <w:bookmarkEnd w:id="48"/>
    <w:bookmarkStart w:name="z209" w:id="49"/>
    <w:p>
      <w:pPr>
        <w:spacing w:after="0"/>
        <w:ind w:left="0"/>
        <w:jc w:val="both"/>
      </w:pPr>
      <w:r>
        <w:rPr>
          <w:rFonts w:ascii="Times New Roman"/>
          <w:b w:val="false"/>
          <w:i w:val="false"/>
          <w:color w:val="000000"/>
          <w:sz w:val="28"/>
        </w:rPr>
        <w:t>
      менее 45 (сорока пяти) процентов от совокупных обязательств с 1 февраля 2025 года;</w:t>
      </w:r>
    </w:p>
    <w:bookmarkEnd w:id="49"/>
    <w:bookmarkStart w:name="z210" w:id="50"/>
    <w:p>
      <w:pPr>
        <w:spacing w:after="0"/>
        <w:ind w:left="0"/>
        <w:jc w:val="both"/>
      </w:pPr>
      <w:r>
        <w:rPr>
          <w:rFonts w:ascii="Times New Roman"/>
          <w:b w:val="false"/>
          <w:i w:val="false"/>
          <w:color w:val="000000"/>
          <w:sz w:val="28"/>
        </w:rPr>
        <w:t>
      менее 40 (сорока) процентов от совокупных обязательств с 1 июля 2025 года;</w:t>
      </w:r>
    </w:p>
    <w:bookmarkEnd w:id="50"/>
    <w:bookmarkStart w:name="z211" w:id="51"/>
    <w:p>
      <w:pPr>
        <w:spacing w:after="0"/>
        <w:ind w:left="0"/>
        <w:jc w:val="both"/>
      </w:pPr>
      <w:r>
        <w:rPr>
          <w:rFonts w:ascii="Times New Roman"/>
          <w:b w:val="false"/>
          <w:i w:val="false"/>
          <w:color w:val="000000"/>
          <w:sz w:val="28"/>
        </w:rPr>
        <w:t>
      менее 35 (тридцати пяти) процентов от совокупных обязательств с 1 января 2026 года.";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w:t>
            </w:r>
            <w:r>
              <w:br/>
            </w:r>
            <w:r>
              <w:rPr>
                <w:rFonts w:ascii="Times New Roman"/>
                <w:b w:val="false"/>
                <w:i w:val="false"/>
                <w:color w:val="000000"/>
                <w:sz w:val="20"/>
              </w:rPr>
              <w:t>регулирования банковской</w:t>
            </w:r>
            <w:r>
              <w:br/>
            </w:r>
            <w:r>
              <w:rPr>
                <w:rFonts w:ascii="Times New Roman"/>
                <w:b w:val="false"/>
                <w:i w:val="false"/>
                <w:color w:val="000000"/>
                <w:sz w:val="20"/>
              </w:rPr>
              <w:t>деятельности,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w:t>
            </w:r>
            <w:r>
              <w:br/>
            </w:r>
            <w:r>
              <w:rPr>
                <w:rFonts w:ascii="Times New Roman"/>
                <w:b w:val="false"/>
                <w:i w:val="false"/>
                <w:color w:val="000000"/>
                <w:sz w:val="20"/>
              </w:rPr>
              <w:t>Казахстан по вопросам</w:t>
            </w:r>
            <w:r>
              <w:br/>
            </w:r>
            <w:r>
              <w:rPr>
                <w:rFonts w:ascii="Times New Roman"/>
                <w:b w:val="false"/>
                <w:i w:val="false"/>
                <w:color w:val="000000"/>
                <w:sz w:val="20"/>
              </w:rPr>
              <w:t>регулирования банковской</w:t>
            </w:r>
            <w:r>
              <w:br/>
            </w:r>
            <w:r>
              <w:rPr>
                <w:rFonts w:ascii="Times New Roman"/>
                <w:b w:val="false"/>
                <w:i w:val="false"/>
                <w:color w:val="000000"/>
                <w:sz w:val="20"/>
              </w:rPr>
              <w:t>деятельности,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317</w:t>
            </w:r>
          </w:p>
        </w:tc>
      </w:tr>
    </w:tbl>
    <w:bookmarkStart w:name="z474" w:id="52"/>
    <w:p>
      <w:pPr>
        <w:spacing w:after="0"/>
        <w:ind w:left="0"/>
        <w:jc w:val="left"/>
      </w:pPr>
      <w:r>
        <w:rPr>
          <w:rFonts w:ascii="Times New Roman"/>
          <w:b/>
          <w:i w:val="false"/>
          <w:color w:val="000000"/>
        </w:rPr>
        <w:t xml:space="preserve"> Методика</w:t>
      </w:r>
      <w:r>
        <w:br/>
      </w:r>
      <w:r>
        <w:rPr>
          <w:rFonts w:ascii="Times New Roman"/>
          <w:b/>
          <w:i w:val="false"/>
          <w:color w:val="000000"/>
        </w:rPr>
        <w:t>определения факторов, влияющих на ухудшение финансового положения банка (банковского конгломерата), филиала банка-нерезидента Республики Казахстан</w:t>
      </w:r>
    </w:p>
    <w:bookmarkEnd w:id="52"/>
    <w:bookmarkStart w:name="z475" w:id="53"/>
    <w:p>
      <w:pPr>
        <w:spacing w:after="0"/>
        <w:ind w:left="0"/>
        <w:jc w:val="both"/>
      </w:pPr>
      <w:r>
        <w:rPr>
          <w:rFonts w:ascii="Times New Roman"/>
          <w:b w:val="false"/>
          <w:i w:val="false"/>
          <w:color w:val="000000"/>
          <w:sz w:val="28"/>
        </w:rPr>
        <w:t xml:space="preserve">
      1. Настоящая Методика определения факторов, влияющих на ухудшение финансового положения банка (банковского конгломерата),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3"/>
    <w:bookmarkStart w:name="z476" w:id="54"/>
    <w:p>
      <w:pPr>
        <w:spacing w:after="0"/>
        <w:ind w:left="0"/>
        <w:jc w:val="both"/>
      </w:pPr>
      <w:r>
        <w:rPr>
          <w:rFonts w:ascii="Times New Roman"/>
          <w:b w:val="false"/>
          <w:i w:val="false"/>
          <w:color w:val="000000"/>
          <w:sz w:val="28"/>
        </w:rPr>
        <w:t xml:space="preserve">
      1-1. Положения настоящей Методики, применяемые по отношению к банкам, распространяются на филиалы банков-нерезидентов Республики Казахстан с учетом особенностей деятельности филиалов банков-нерезидентов Республики Казахстан,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4"/>
    <w:bookmarkStart w:name="z477" w:id="55"/>
    <w:p>
      <w:pPr>
        <w:spacing w:after="0"/>
        <w:ind w:left="0"/>
        <w:jc w:val="both"/>
      </w:pPr>
      <w:r>
        <w:rPr>
          <w:rFonts w:ascii="Times New Roman"/>
          <w:b w:val="false"/>
          <w:i w:val="false"/>
          <w:color w:val="000000"/>
          <w:sz w:val="28"/>
        </w:rPr>
        <w:t xml:space="preserve">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 (далее - Нормативы № 23).</w:t>
      </w:r>
    </w:p>
    <w:bookmarkEnd w:id="55"/>
    <w:bookmarkStart w:name="z478" w:id="56"/>
    <w:p>
      <w:pPr>
        <w:spacing w:after="0"/>
        <w:ind w:left="0"/>
        <w:jc w:val="both"/>
      </w:pPr>
      <w:r>
        <w:rPr>
          <w:rFonts w:ascii="Times New Roman"/>
          <w:b w:val="false"/>
          <w:i w:val="false"/>
          <w:color w:val="000000"/>
          <w:sz w:val="28"/>
        </w:rPr>
        <w:t>
      2. Уполномоченный орган по регулированию, контролю и надзору финансового рынка и финансовых организаций (далее – уполномоченный орган):</w:t>
      </w:r>
    </w:p>
    <w:bookmarkEnd w:id="56"/>
    <w:bookmarkStart w:name="z479" w:id="57"/>
    <w:p>
      <w:pPr>
        <w:spacing w:after="0"/>
        <w:ind w:left="0"/>
        <w:jc w:val="both"/>
      </w:pPr>
      <w:r>
        <w:rPr>
          <w:rFonts w:ascii="Times New Roman"/>
          <w:b w:val="false"/>
          <w:i w:val="false"/>
          <w:color w:val="000000"/>
          <w:sz w:val="28"/>
        </w:rPr>
        <w:t>
      для определения факторов, влияющих на ухудшение финансового положения банка, предусмотренных частью первой пункта 1 настоящего постановления, ежемесячно на базе данных отчетности осуществляет анализ деятельности банка;</w:t>
      </w:r>
    </w:p>
    <w:bookmarkEnd w:id="57"/>
    <w:bookmarkStart w:name="z480" w:id="58"/>
    <w:p>
      <w:pPr>
        <w:spacing w:after="0"/>
        <w:ind w:left="0"/>
        <w:jc w:val="both"/>
      </w:pPr>
      <w:r>
        <w:rPr>
          <w:rFonts w:ascii="Times New Roman"/>
          <w:b w:val="false"/>
          <w:i w:val="false"/>
          <w:color w:val="000000"/>
          <w:sz w:val="28"/>
        </w:rPr>
        <w:t>
      для определения факторов, влияющих на ухудшение финансового положения банковского конгломерата, предусмотренных пунктом 2 настоящего постановления, ежеквартально на базе данных отчетности осуществляет анализ деятельности банковского конгломерата.</w:t>
      </w:r>
    </w:p>
    <w:bookmarkEnd w:id="58"/>
    <w:bookmarkStart w:name="z481" w:id="59"/>
    <w:p>
      <w:pPr>
        <w:spacing w:after="0"/>
        <w:ind w:left="0"/>
        <w:jc w:val="both"/>
      </w:pPr>
      <w:r>
        <w:rPr>
          <w:rFonts w:ascii="Times New Roman"/>
          <w:b w:val="false"/>
          <w:i w:val="false"/>
          <w:color w:val="000000"/>
          <w:sz w:val="28"/>
        </w:rPr>
        <w:t>
      3. Определение факторов, влияющих на ухудшение финансового положения банка, осуществляется по следующей методике:</w:t>
      </w:r>
    </w:p>
    <w:bookmarkEnd w:id="59"/>
    <w:bookmarkStart w:name="z482" w:id="60"/>
    <w:p>
      <w:pPr>
        <w:spacing w:after="0"/>
        <w:ind w:left="0"/>
        <w:jc w:val="both"/>
      </w:pPr>
      <w:r>
        <w:rPr>
          <w:rFonts w:ascii="Times New Roman"/>
          <w:b w:val="false"/>
          <w:i w:val="false"/>
          <w:color w:val="000000"/>
          <w:sz w:val="28"/>
        </w:rPr>
        <w:t xml:space="preserve">
      1) снижение 2 (два) и более раза в течение 6 (шести) последовательных месяцев коэффициентов ликвидности до или ниже уровня, превышающего на 0,1 (ноль целых одну десятую) минимальные значения коэффициентов ликвидности, установленные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размера капитала банка, утвержденными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(далее - Нормативы № 170) или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для исламских банков, утвержденными постановлением Правления Национального Банка Республики Казахстан от 30 мая 2016 года № 144, зарегистрированным в Реестре государственной регистрации нормативных правовых актов под № 13939 (далее - Нормативы № 144) или Нормативами № 23);</w:t>
      </w:r>
    </w:p>
    <w:bookmarkEnd w:id="60"/>
    <w:bookmarkStart w:name="z483" w:id="61"/>
    <w:p>
      <w:pPr>
        <w:spacing w:after="0"/>
        <w:ind w:left="0"/>
        <w:jc w:val="both"/>
      </w:pPr>
      <w:r>
        <w:rPr>
          <w:rFonts w:ascii="Times New Roman"/>
          <w:b w:val="false"/>
          <w:i w:val="false"/>
          <w:color w:val="000000"/>
          <w:sz w:val="28"/>
        </w:rPr>
        <w:t>
      2)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рассчитывается по следующей формуле:</w:t>
      </w:r>
    </w:p>
    <w:bookmarkEnd w:id="61"/>
    <w:bookmarkStart w:name="z48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74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63"/>
    <w:p>
      <w:pPr>
        <w:spacing w:after="0"/>
        <w:ind w:left="0"/>
        <w:jc w:val="both"/>
      </w:pP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63"/>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w:t>
      </w:r>
    </w:p>
    <w:bookmarkStart w:name="z48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58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65"/>
    <w:p>
      <w:pPr>
        <w:spacing w:after="0"/>
        <w:ind w:left="0"/>
        <w:jc w:val="both"/>
      </w:pPr>
      <w:r>
        <w:rPr>
          <w:rFonts w:ascii="Times New Roman"/>
          <w:b w:val="false"/>
          <w:i w:val="false"/>
          <w:color w:val="000000"/>
          <w:sz w:val="28"/>
        </w:rPr>
        <w:t>
      3) увеличение в течение 6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80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 </w:t>
      </w:r>
    </w:p>
    <w:bookmarkEnd w:id="65"/>
    <w:bookmarkStart w:name="z48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68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67"/>
    <w:p>
      <w:pPr>
        <w:spacing w:after="0"/>
        <w:ind w:left="0"/>
        <w:jc w:val="both"/>
      </w:pPr>
      <w:r>
        <w:rPr>
          <w:rFonts w:ascii="Times New Roman"/>
          <w:b w:val="false"/>
          <w:i w:val="false"/>
          <w:color w:val="000000"/>
          <w:sz w:val="28"/>
        </w:rPr>
        <w:t>
      при условии:</w:t>
      </w:r>
    </w:p>
    <w:bookmarkEnd w:id="67"/>
    <w:bookmarkStart w:name="z491" w:id="68"/>
    <w:p>
      <w:pPr>
        <w:spacing w:after="0"/>
        <w:ind w:left="0"/>
        <w:jc w:val="both"/>
      </w:pPr>
      <w:r>
        <w:rPr>
          <w:rFonts w:ascii="Times New Roman"/>
          <w:b w:val="false"/>
          <w:i w:val="false"/>
          <w:color w:val="000000"/>
          <w:sz w:val="28"/>
        </w:rPr>
        <w:t>
      ЧКЗ6 &gt; 80% СК6 и (КЗБ6 - КЗБ0 ) &gt; (Пр6 - Пр0 ), где:</w:t>
      </w:r>
    </w:p>
    <w:bookmarkEnd w:id="68"/>
    <w:bookmarkStart w:name="z492" w:id="69"/>
    <w:p>
      <w:pPr>
        <w:spacing w:after="0"/>
        <w:ind w:left="0"/>
        <w:jc w:val="both"/>
      </w:pP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p>
    <w:bookmarkEnd w:id="69"/>
    <w:bookmarkStart w:name="z493" w:id="70"/>
    <w:p>
      <w:pPr>
        <w:spacing w:after="0"/>
        <w:ind w:left="0"/>
        <w:jc w:val="both"/>
      </w:pP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Нормативами № 170, Нормативами № 144 или Нормативами № 23;</w:t>
      </w:r>
    </w:p>
    <w:bookmarkEnd w:id="70"/>
    <w:bookmarkStart w:name="z494" w:id="71"/>
    <w:p>
      <w:pPr>
        <w:spacing w:after="0"/>
        <w:ind w:left="0"/>
        <w:jc w:val="both"/>
      </w:pP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p>
    <w:bookmarkEnd w:id="71"/>
    <w:bookmarkStart w:name="z495" w:id="72"/>
    <w:p>
      <w:pPr>
        <w:spacing w:after="0"/>
        <w:ind w:left="0"/>
        <w:jc w:val="both"/>
      </w:pP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p>
    <w:bookmarkEnd w:id="72"/>
    <w:bookmarkStart w:name="z496" w:id="73"/>
    <w:p>
      <w:pPr>
        <w:spacing w:after="0"/>
        <w:ind w:left="0"/>
        <w:jc w:val="both"/>
      </w:pPr>
      <w:r>
        <w:rPr>
          <w:rFonts w:ascii="Times New Roman"/>
          <w:b w:val="false"/>
          <w:i w:val="false"/>
          <w:color w:val="000000"/>
          <w:sz w:val="28"/>
        </w:rPr>
        <w:t>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Нормативами № 23;</w:t>
      </w:r>
    </w:p>
    <w:bookmarkEnd w:id="73"/>
    <w:bookmarkStart w:name="z497" w:id="74"/>
    <w:p>
      <w:pPr>
        <w:spacing w:after="0"/>
        <w:ind w:left="0"/>
        <w:jc w:val="both"/>
      </w:pPr>
      <w:r>
        <w:rPr>
          <w:rFonts w:ascii="Times New Roman"/>
          <w:b w:val="false"/>
          <w:i w:val="false"/>
          <w:color w:val="000000"/>
          <w:sz w:val="28"/>
        </w:rPr>
        <w:t>
      4)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 </w:t>
      </w:r>
    </w:p>
    <w:bookmarkEnd w:id="74"/>
    <w:bookmarkStart w:name="z49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76"/>
    <w:p>
      <w:pPr>
        <w:spacing w:after="0"/>
        <w:ind w:left="0"/>
        <w:jc w:val="both"/>
      </w:pPr>
      <w:r>
        <w:rPr>
          <w:rFonts w:ascii="Times New Roman"/>
          <w:b w:val="false"/>
          <w:i w:val="false"/>
          <w:color w:val="000000"/>
          <w:sz w:val="28"/>
        </w:rPr>
        <w:t>
      ЗП61-90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bookmarkEnd w:id="76"/>
    <w:bookmarkStart w:name="z500" w:id="77"/>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77"/>
    <w:bookmarkStart w:name="z50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81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отчетный период;</w:t>
      </w:r>
      <w:r>
        <w:br/>
      </w:r>
      <w:r>
        <w:rPr>
          <w:rFonts w:ascii="Times New Roman"/>
          <w:b w:val="false"/>
          <w:i w:val="false"/>
          <w:color w:val="000000"/>
          <w:sz w:val="28"/>
        </w:rPr>
        <w:t>
</w:t>
      </w:r>
    </w:p>
    <w:bookmarkStart w:name="z5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6 (шесть) последовательных календарных месяцев, предшествующих отчетному периоду;</w:t>
      </w:r>
      <w:r>
        <w:br/>
      </w:r>
      <w:r>
        <w:rPr>
          <w:rFonts w:ascii="Times New Roman"/>
          <w:b w:val="false"/>
          <w:i w:val="false"/>
          <w:color w:val="000000"/>
          <w:sz w:val="28"/>
        </w:rPr>
        <w:t>
</w:t>
      </w:r>
    </w:p>
    <w:bookmarkStart w:name="z504" w:id="81"/>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 </w:t>
      </w:r>
    </w:p>
    <w:bookmarkEnd w:id="81"/>
    <w:bookmarkStart w:name="z5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83"/>
    <w:p>
      <w:pPr>
        <w:spacing w:after="0"/>
        <w:ind w:left="0"/>
        <w:jc w:val="both"/>
      </w:pP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83"/>
    <w:bookmarkStart w:name="z507" w:id="84"/>
    <w:p>
      <w:pPr>
        <w:spacing w:after="0"/>
        <w:ind w:left="0"/>
        <w:jc w:val="both"/>
      </w:pP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p>
    <w:bookmarkEnd w:id="84"/>
    <w:bookmarkStart w:name="z508" w:id="85"/>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6 (шести) последовательных месяцев рассчитывается по следующей формуле:</w:t>
      </w:r>
    </w:p>
    <w:bookmarkEnd w:id="85"/>
    <w:bookmarkStart w:name="z5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33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37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87"/>
    <w:p>
      <w:pPr>
        <w:spacing w:after="0"/>
        <w:ind w:left="0"/>
        <w:jc w:val="both"/>
      </w:pP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p>
    <w:bookmarkEnd w:id="87"/>
    <w:bookmarkStart w:name="z511" w:id="88"/>
    <w:p>
      <w:pPr>
        <w:spacing w:after="0"/>
        <w:ind w:left="0"/>
        <w:jc w:val="both"/>
      </w:pP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p>
    <w:bookmarkEnd w:id="88"/>
    <w:bookmarkStart w:name="z512" w:id="89"/>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bookmarkEnd w:id="89"/>
    <w:bookmarkStart w:name="z513" w:id="90"/>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 </w:t>
      </w:r>
    </w:p>
    <w:bookmarkEnd w:id="90"/>
    <w:bookmarkStart w:name="z51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6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92"/>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w:t>
      </w:r>
    </w:p>
    <w:bookmarkEnd w:id="92"/>
    <w:bookmarkStart w:name="z516" w:id="93"/>
    <w:p>
      <w:pPr>
        <w:spacing w:after="0"/>
        <w:ind w:left="0"/>
        <w:jc w:val="both"/>
      </w:pPr>
      <w:r>
        <w:rPr>
          <w:rFonts w:ascii="Times New Roman"/>
          <w:b w:val="false"/>
          <w:i w:val="false"/>
          <w:color w:val="000000"/>
          <w:sz w:val="28"/>
        </w:rPr>
        <w:t>
      В расчет классифицированной дебиторской задолженности включается сумма основного долга.</w:t>
      </w:r>
    </w:p>
    <w:bookmarkEnd w:id="93"/>
    <w:bookmarkStart w:name="z517" w:id="94"/>
    <w:p>
      <w:pPr>
        <w:spacing w:after="0"/>
        <w:ind w:left="0"/>
        <w:jc w:val="both"/>
      </w:pPr>
      <w:r>
        <w:rPr>
          <w:rFonts w:ascii="Times New Roman"/>
          <w:b w:val="false"/>
          <w:i w:val="false"/>
          <w:color w:val="000000"/>
          <w:sz w:val="28"/>
        </w:rPr>
        <w:t>
      В случае, когда увеличение доли классифицированной дебиторской задолженности в совокупной дебиторской задолженности возникло в результате снижения совокупной дебиторской задолженности, фактор, предусмотренный в настоящем подпункте, не применяется к банку;</w:t>
      </w:r>
    </w:p>
    <w:bookmarkEnd w:id="94"/>
    <w:bookmarkStart w:name="z518" w:id="95"/>
    <w:p>
      <w:pPr>
        <w:spacing w:after="0"/>
        <w:ind w:left="0"/>
        <w:jc w:val="both"/>
      </w:pPr>
      <w:r>
        <w:rPr>
          <w:rFonts w:ascii="Times New Roman"/>
          <w:b w:val="false"/>
          <w:i w:val="false"/>
          <w:color w:val="000000"/>
          <w:sz w:val="28"/>
        </w:rPr>
        <w:t>
      7)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95"/>
    <w:bookmarkStart w:name="z519" w:id="96"/>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 </w:t>
      </w:r>
    </w:p>
    <w:bookmarkEnd w:id="96"/>
    <w:bookmarkStart w:name="z5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73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3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98"/>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bookmarkEnd w:id="98"/>
    <w:bookmarkStart w:name="z522" w:id="99"/>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bookmarkEnd w:id="99"/>
    <w:bookmarkStart w:name="z523" w:id="100"/>
    <w:p>
      <w:pPr>
        <w:spacing w:after="0"/>
        <w:ind w:left="0"/>
        <w:jc w:val="both"/>
      </w:pPr>
      <w:r>
        <w:rPr>
          <w:rFonts w:ascii="Times New Roman"/>
          <w:b w:val="false"/>
          <w:i w:val="false"/>
          <w:color w:val="000000"/>
          <w:sz w:val="28"/>
        </w:rPr>
        <w:t>
      Кк - коэффициент корректировки, который рассчитывается по следующей формуле: </w:t>
      </w:r>
    </w:p>
    <w:bookmarkEnd w:id="100"/>
    <w:bookmarkStart w:name="z5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8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102"/>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bookmarkEnd w:id="102"/>
    <w:bookmarkStart w:name="z526" w:id="103"/>
    <w:p>
      <w:pPr>
        <w:spacing w:after="0"/>
        <w:ind w:left="0"/>
        <w:jc w:val="both"/>
      </w:pP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 </w:t>
      </w:r>
    </w:p>
    <w:bookmarkEnd w:id="103"/>
    <w:bookmarkStart w:name="z5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6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105"/>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bookmarkEnd w:id="105"/>
    <w:bookmarkStart w:name="z529" w:id="106"/>
    <w:p>
      <w:pPr>
        <w:spacing w:after="0"/>
        <w:ind w:left="0"/>
        <w:jc w:val="both"/>
      </w:pPr>
      <w:r>
        <w:rPr>
          <w:rFonts w:ascii="Times New Roman"/>
          <w:b w:val="false"/>
          <w:i w:val="false"/>
          <w:color w:val="000000"/>
          <w:sz w:val="28"/>
        </w:rPr>
        <w:t>
      А(0, 1…n) - размер активов на конец определенного месяца;</w:t>
      </w:r>
    </w:p>
    <w:bookmarkEnd w:id="106"/>
    <w:bookmarkStart w:name="z530" w:id="107"/>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107"/>
    <w:bookmarkStart w:name="z531" w:id="108"/>
    <w:p>
      <w:pPr>
        <w:spacing w:after="0"/>
        <w:ind w:left="0"/>
        <w:jc w:val="both"/>
      </w:pPr>
      <w:r>
        <w:rPr>
          <w:rFonts w:ascii="Times New Roman"/>
          <w:b w:val="false"/>
          <w:i w:val="false"/>
          <w:color w:val="000000"/>
          <w:sz w:val="28"/>
        </w:rPr>
        <w:t>
      8) снижение 2 (два) и более раза в течение 6 (шести) последовательных месяцев среднего значения отношения свободных активов в национальной валюте к обязательствам до востребования в национальной валюте ниже 0,4 (ноль целых четыре десятых).</w:t>
      </w:r>
    </w:p>
    <w:bookmarkEnd w:id="108"/>
    <w:bookmarkStart w:name="z532" w:id="109"/>
    <w:p>
      <w:pPr>
        <w:spacing w:after="0"/>
        <w:ind w:left="0"/>
        <w:jc w:val="both"/>
      </w:pPr>
      <w:r>
        <w:rPr>
          <w:rFonts w:ascii="Times New Roman"/>
          <w:b w:val="false"/>
          <w:i w:val="false"/>
          <w:color w:val="000000"/>
          <w:sz w:val="28"/>
        </w:rPr>
        <w:t>
      Свободные активы в национальной валюте включают:</w:t>
      </w:r>
    </w:p>
    <w:bookmarkEnd w:id="109"/>
    <w:bookmarkStart w:name="z533" w:id="110"/>
    <w:p>
      <w:pPr>
        <w:spacing w:after="0"/>
        <w:ind w:left="0"/>
        <w:jc w:val="both"/>
      </w:pPr>
      <w:r>
        <w:rPr>
          <w:rFonts w:ascii="Times New Roman"/>
          <w:b w:val="false"/>
          <w:i w:val="false"/>
          <w:color w:val="000000"/>
          <w:sz w:val="28"/>
        </w:rPr>
        <w:t>
      наличность;</w:t>
      </w:r>
    </w:p>
    <w:bookmarkEnd w:id="110"/>
    <w:bookmarkStart w:name="z534" w:id="111"/>
    <w:p>
      <w:pPr>
        <w:spacing w:after="0"/>
        <w:ind w:left="0"/>
        <w:jc w:val="both"/>
      </w:pPr>
      <w:r>
        <w:rPr>
          <w:rFonts w:ascii="Times New Roman"/>
          <w:b w:val="false"/>
          <w:i w:val="false"/>
          <w:color w:val="000000"/>
          <w:sz w:val="28"/>
        </w:rPr>
        <w:t>
      средства на корреспондентских счетах;</w:t>
      </w:r>
    </w:p>
    <w:bookmarkEnd w:id="111"/>
    <w:bookmarkStart w:name="z535" w:id="112"/>
    <w:p>
      <w:pPr>
        <w:spacing w:after="0"/>
        <w:ind w:left="0"/>
        <w:jc w:val="both"/>
      </w:pPr>
      <w:r>
        <w:rPr>
          <w:rFonts w:ascii="Times New Roman"/>
          <w:b w:val="false"/>
          <w:i w:val="false"/>
          <w:color w:val="000000"/>
          <w:sz w:val="28"/>
        </w:rPr>
        <w:t>
      вклады в Национальном Банке Республики Казахстан;</w:t>
      </w:r>
    </w:p>
    <w:bookmarkEnd w:id="112"/>
    <w:bookmarkStart w:name="z536" w:id="113"/>
    <w:p>
      <w:pPr>
        <w:spacing w:after="0"/>
        <w:ind w:left="0"/>
        <w:jc w:val="both"/>
      </w:pPr>
      <w:r>
        <w:rPr>
          <w:rFonts w:ascii="Times New Roman"/>
          <w:b w:val="false"/>
          <w:i w:val="false"/>
          <w:color w:val="000000"/>
          <w:sz w:val="28"/>
        </w:rPr>
        <w:t>
      необремененные государственные ценные бумаги Республики Казахстан, включая номинированные в иностранной валюте;</w:t>
      </w:r>
    </w:p>
    <w:bookmarkEnd w:id="113"/>
    <w:bookmarkStart w:name="z537" w:id="114"/>
    <w:p>
      <w:pPr>
        <w:spacing w:after="0"/>
        <w:ind w:left="0"/>
        <w:jc w:val="both"/>
      </w:pPr>
      <w:r>
        <w:rPr>
          <w:rFonts w:ascii="Times New Roman"/>
          <w:b w:val="false"/>
          <w:i w:val="false"/>
          <w:color w:val="000000"/>
          <w:sz w:val="28"/>
        </w:rPr>
        <w:t>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114"/>
    <w:bookmarkStart w:name="z538" w:id="115"/>
    <w:p>
      <w:pPr>
        <w:spacing w:after="0"/>
        <w:ind w:left="0"/>
        <w:jc w:val="both"/>
      </w:pPr>
      <w:r>
        <w:rPr>
          <w:rFonts w:ascii="Times New Roman"/>
          <w:b w:val="false"/>
          <w:i w:val="false"/>
          <w:color w:val="000000"/>
          <w:sz w:val="28"/>
        </w:rPr>
        <w:t>
      вклады-овернайт в банках;</w:t>
      </w:r>
    </w:p>
    <w:bookmarkEnd w:id="115"/>
    <w:bookmarkStart w:name="z539" w:id="116"/>
    <w:p>
      <w:pPr>
        <w:spacing w:after="0"/>
        <w:ind w:left="0"/>
        <w:jc w:val="both"/>
      </w:pPr>
      <w:r>
        <w:rPr>
          <w:rFonts w:ascii="Times New Roman"/>
          <w:b w:val="false"/>
          <w:i w:val="false"/>
          <w:color w:val="000000"/>
          <w:sz w:val="28"/>
        </w:rPr>
        <w:t>
      обратное репо-овернайт;</w:t>
      </w:r>
    </w:p>
    <w:bookmarkEnd w:id="116"/>
    <w:bookmarkStart w:name="z540" w:id="117"/>
    <w:p>
      <w:pPr>
        <w:spacing w:after="0"/>
        <w:ind w:left="0"/>
        <w:jc w:val="both"/>
      </w:pPr>
      <w:r>
        <w:rPr>
          <w:rFonts w:ascii="Times New Roman"/>
          <w:b w:val="false"/>
          <w:i w:val="false"/>
          <w:color w:val="000000"/>
          <w:sz w:val="28"/>
        </w:rPr>
        <w:t>
      требования в национальной валюте по операциям валютный своп, заключенным на срок не более 2 (двух) рабочих дней.</w:t>
      </w:r>
    </w:p>
    <w:bookmarkEnd w:id="117"/>
    <w:bookmarkStart w:name="z541" w:id="118"/>
    <w:p>
      <w:pPr>
        <w:spacing w:after="0"/>
        <w:ind w:left="0"/>
        <w:jc w:val="both"/>
      </w:pPr>
      <w:r>
        <w:rPr>
          <w:rFonts w:ascii="Times New Roman"/>
          <w:b w:val="false"/>
          <w:i w:val="false"/>
          <w:color w:val="000000"/>
          <w:sz w:val="28"/>
        </w:rPr>
        <w:t>
      Обязательства до востребования в национальной валюте включают:</w:t>
      </w:r>
    </w:p>
    <w:bookmarkEnd w:id="118"/>
    <w:bookmarkStart w:name="z542" w:id="119"/>
    <w:p>
      <w:pPr>
        <w:spacing w:after="0"/>
        <w:ind w:left="0"/>
        <w:jc w:val="both"/>
      </w:pPr>
      <w:r>
        <w:rPr>
          <w:rFonts w:ascii="Times New Roman"/>
          <w:b w:val="false"/>
          <w:i w:val="false"/>
          <w:color w:val="000000"/>
          <w:sz w:val="28"/>
        </w:rPr>
        <w:t>
      текущие счета и счета до востребования физических лиц;</w:t>
      </w:r>
    </w:p>
    <w:bookmarkEnd w:id="119"/>
    <w:bookmarkStart w:name="z543" w:id="120"/>
    <w:p>
      <w:pPr>
        <w:spacing w:after="0"/>
        <w:ind w:left="0"/>
        <w:jc w:val="both"/>
      </w:pPr>
      <w:r>
        <w:rPr>
          <w:rFonts w:ascii="Times New Roman"/>
          <w:b w:val="false"/>
          <w:i w:val="false"/>
          <w:color w:val="000000"/>
          <w:sz w:val="28"/>
        </w:rPr>
        <w:t>
      текущие счета и счета до востребования юридических лиц;</w:t>
      </w:r>
    </w:p>
    <w:bookmarkEnd w:id="120"/>
    <w:bookmarkStart w:name="z544" w:id="121"/>
    <w:p>
      <w:pPr>
        <w:spacing w:after="0"/>
        <w:ind w:left="0"/>
        <w:jc w:val="both"/>
      </w:pPr>
      <w:r>
        <w:rPr>
          <w:rFonts w:ascii="Times New Roman"/>
          <w:b w:val="false"/>
          <w:i w:val="false"/>
          <w:color w:val="000000"/>
          <w:sz w:val="28"/>
        </w:rPr>
        <w:t>
      корреспондентские счета и счета до востребования других банков;</w:t>
      </w:r>
    </w:p>
    <w:bookmarkEnd w:id="121"/>
    <w:bookmarkStart w:name="z545" w:id="122"/>
    <w:p>
      <w:pPr>
        <w:spacing w:after="0"/>
        <w:ind w:left="0"/>
        <w:jc w:val="both"/>
      </w:pPr>
      <w:r>
        <w:rPr>
          <w:rFonts w:ascii="Times New Roman"/>
          <w:b w:val="false"/>
          <w:i w:val="false"/>
          <w:color w:val="000000"/>
          <w:sz w:val="28"/>
        </w:rPr>
        <w:t>
      вклады-овернайт других банков;</w:t>
      </w:r>
    </w:p>
    <w:bookmarkEnd w:id="122"/>
    <w:bookmarkStart w:name="z546" w:id="123"/>
    <w:p>
      <w:pPr>
        <w:spacing w:after="0"/>
        <w:ind w:left="0"/>
        <w:jc w:val="both"/>
      </w:pPr>
      <w:r>
        <w:rPr>
          <w:rFonts w:ascii="Times New Roman"/>
          <w:b w:val="false"/>
          <w:i w:val="false"/>
          <w:color w:val="000000"/>
          <w:sz w:val="28"/>
        </w:rPr>
        <w:t>
      обязательства в национальной валюте по операциям валютный своп, заключенным на срок не более 2 (двух) рабочих дней.</w:t>
      </w:r>
    </w:p>
    <w:bookmarkEnd w:id="123"/>
    <w:bookmarkStart w:name="z547" w:id="124"/>
    <w:p>
      <w:pPr>
        <w:spacing w:after="0"/>
        <w:ind w:left="0"/>
        <w:jc w:val="both"/>
      </w:pPr>
      <w:r>
        <w:rPr>
          <w:rFonts w:ascii="Times New Roman"/>
          <w:b w:val="false"/>
          <w:i w:val="false"/>
          <w:color w:val="000000"/>
          <w:sz w:val="28"/>
        </w:rPr>
        <w:t>
      Для целей расчета данного фактора среднее значение отношения свободных активов в национальной валюте к обязательствам до востребования в национальной валюте рассчитывается по следующей формуле: </w:t>
      </w:r>
    </w:p>
    <w:bookmarkEnd w:id="124"/>
    <w:bookmarkStart w:name="z54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579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91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126"/>
    <w:p>
      <w:pPr>
        <w:spacing w:after="0"/>
        <w:ind w:left="0"/>
        <w:jc w:val="both"/>
      </w:pPr>
      <w:r>
        <w:rPr>
          <w:rFonts w:ascii="Times New Roman"/>
          <w:b w:val="false"/>
          <w:i w:val="false"/>
          <w:color w:val="000000"/>
          <w:sz w:val="28"/>
        </w:rPr>
        <w:t>
      n - количество календарных дней в месяце.</w:t>
      </w:r>
    </w:p>
    <w:bookmarkEnd w:id="126"/>
    <w:bookmarkStart w:name="z550" w:id="127"/>
    <w:p>
      <w:pPr>
        <w:spacing w:after="0"/>
        <w:ind w:left="0"/>
        <w:jc w:val="both"/>
      </w:pPr>
      <w:r>
        <w:rPr>
          <w:rFonts w:ascii="Times New Roman"/>
          <w:b w:val="false"/>
          <w:i w:val="false"/>
          <w:color w:val="000000"/>
          <w:sz w:val="28"/>
        </w:rPr>
        <w:t>
      Рассматриваемым периодом является период, заканчивающийся на отчетную дату. При расчете фактора, указанного в настоящем подпункте, изменения представляются с тремя знаками после запятой.</w:t>
      </w:r>
    </w:p>
    <w:bookmarkEnd w:id="127"/>
    <w:bookmarkStart w:name="z551" w:id="128"/>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bookmarkEnd w:id="128"/>
    <w:bookmarkStart w:name="z552" w:id="129"/>
    <w:p>
      <w:pPr>
        <w:spacing w:after="0"/>
        <w:ind w:left="0"/>
        <w:jc w:val="both"/>
      </w:pPr>
      <w:r>
        <w:rPr>
          <w:rFonts w:ascii="Times New Roman"/>
          <w:b w:val="false"/>
          <w:i w:val="false"/>
          <w:color w:val="000000"/>
          <w:sz w:val="28"/>
        </w:rPr>
        <w:t>
      9) отношение неработающих займов к общему объему ссудного портфеля банка без учета сформированных резервов по нему рассчитывается по следующей формуле:</w:t>
      </w:r>
    </w:p>
    <w:bookmarkEnd w:id="129"/>
    <w:bookmarkStart w:name="z553" w:id="130"/>
    <w:p>
      <w:pPr>
        <w:spacing w:after="0"/>
        <w:ind w:left="0"/>
        <w:jc w:val="both"/>
      </w:pPr>
      <w:r>
        <w:rPr>
          <w:rFonts w:ascii="Times New Roman"/>
          <w:b w:val="false"/>
          <w:i w:val="false"/>
          <w:color w:val="000000"/>
          <w:sz w:val="28"/>
        </w:rPr>
        <w:t>
      неработающие займы / СП &gt; =10%, где:</w:t>
      </w:r>
    </w:p>
    <w:bookmarkEnd w:id="130"/>
    <w:bookmarkStart w:name="z554" w:id="131"/>
    <w:p>
      <w:pPr>
        <w:spacing w:after="0"/>
        <w:ind w:left="0"/>
        <w:jc w:val="both"/>
      </w:pPr>
      <w:r>
        <w:rPr>
          <w:rFonts w:ascii="Times New Roman"/>
          <w:b w:val="false"/>
          <w:i w:val="false"/>
          <w:color w:val="000000"/>
          <w:sz w:val="28"/>
        </w:rPr>
        <w:t xml:space="preserve">
      неработающие займы - займы, выданные юридическим и физическим лицам,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постановлением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bookmarkEnd w:id="131"/>
    <w:bookmarkStart w:name="z555" w:id="132"/>
    <w:p>
      <w:pPr>
        <w:spacing w:after="0"/>
        <w:ind w:left="0"/>
        <w:jc w:val="both"/>
      </w:pP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без учета сформированных резервов по нему;</w:t>
      </w:r>
    </w:p>
    <w:bookmarkEnd w:id="132"/>
    <w:bookmarkStart w:name="z556" w:id="133"/>
    <w:p>
      <w:pPr>
        <w:spacing w:after="0"/>
        <w:ind w:left="0"/>
        <w:jc w:val="both"/>
      </w:pPr>
      <w:r>
        <w:rPr>
          <w:rFonts w:ascii="Times New Roman"/>
          <w:b w:val="false"/>
          <w:i w:val="false"/>
          <w:color w:val="000000"/>
          <w:sz w:val="28"/>
        </w:rPr>
        <w:t>
      10) отношение среднемесячного значения операций "РЕПО" с ценными бумагами к среднемесячному значению совокупных обязательств рассчитывается по следующей формуле:</w:t>
      </w:r>
    </w:p>
    <w:bookmarkEnd w:id="133"/>
    <w:bookmarkStart w:name="z55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58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135"/>
    <w:p>
      <w:pPr>
        <w:spacing w:after="0"/>
        <w:ind w:left="0"/>
        <w:jc w:val="both"/>
      </w:pPr>
      <w:r>
        <w:rPr>
          <w:rFonts w:ascii="Times New Roman"/>
          <w:b w:val="false"/>
          <w:i w:val="false"/>
          <w:color w:val="000000"/>
          <w:sz w:val="28"/>
        </w:rPr>
        <w:t>
      ПР – среднемесячное значение операций "РЕПО" с ценными бумагами, рассчитываемое как сумма балансовой стоимости операций "РЕПО" за каждый рабочий день отчетного месяца к количеству рабочих дней в соответствующем отчетном месяце;</w:t>
      </w:r>
    </w:p>
    <w:bookmarkEnd w:id="135"/>
    <w:bookmarkStart w:name="z559" w:id="136"/>
    <w:p>
      <w:pPr>
        <w:spacing w:after="0"/>
        <w:ind w:left="0"/>
        <w:jc w:val="both"/>
      </w:pPr>
      <w:r>
        <w:rPr>
          <w:rFonts w:ascii="Times New Roman"/>
          <w:b w:val="false"/>
          <w:i w:val="false"/>
          <w:color w:val="000000"/>
          <w:sz w:val="28"/>
        </w:rPr>
        <w:t>
      ОБ – среднемесячное значение совокупных обязательств, рассчитываемое как сумма балансовой стоимости совокупных обязательств за каждый рабочий день отчетного месяца к количеству рабочих дней в соответствующем отчетном месяце.</w:t>
      </w:r>
    </w:p>
    <w:bookmarkEnd w:id="136"/>
    <w:bookmarkStart w:name="z560" w:id="137"/>
    <w:p>
      <w:pPr>
        <w:spacing w:after="0"/>
        <w:ind w:left="0"/>
        <w:jc w:val="both"/>
      </w:pPr>
      <w:r>
        <w:rPr>
          <w:rFonts w:ascii="Times New Roman"/>
          <w:b w:val="false"/>
          <w:i w:val="false"/>
          <w:color w:val="000000"/>
          <w:sz w:val="28"/>
        </w:rPr>
        <w:t>
      При этом отношение суммы операций "РЕПО" к сумме обязательств не должно превышать 45 (сорока пяти) процентов в каждый рабочий день.</w:t>
      </w:r>
    </w:p>
    <w:bookmarkEnd w:id="137"/>
    <w:bookmarkStart w:name="z561" w:id="138"/>
    <w:p>
      <w:pPr>
        <w:spacing w:after="0"/>
        <w:ind w:left="0"/>
        <w:jc w:val="both"/>
      </w:pPr>
      <w:r>
        <w:rPr>
          <w:rFonts w:ascii="Times New Roman"/>
          <w:b w:val="false"/>
          <w:i w:val="false"/>
          <w:color w:val="000000"/>
          <w:sz w:val="28"/>
        </w:rPr>
        <w:t>
      Значение отношения среднемесячного значения операций "РЕПО" с ценными бумагами к среднемесячному значению совокупных обязательств, а также отношение суммы операций "РЕПО" к сумме обязательств в каждый рабочий день, указанные в настоящем подпункте, составляет:</w:t>
      </w:r>
    </w:p>
    <w:bookmarkEnd w:id="138"/>
    <w:bookmarkStart w:name="z562" w:id="139"/>
    <w:p>
      <w:pPr>
        <w:spacing w:after="0"/>
        <w:ind w:left="0"/>
        <w:jc w:val="both"/>
      </w:pPr>
      <w:r>
        <w:rPr>
          <w:rFonts w:ascii="Times New Roman"/>
          <w:b w:val="false"/>
          <w:i w:val="false"/>
          <w:color w:val="000000"/>
          <w:sz w:val="28"/>
        </w:rPr>
        <w:t>
      не более 45 (сорока пяти) процентов от совокупных обязательств с 1 февраля 2025 года;</w:t>
      </w:r>
    </w:p>
    <w:bookmarkEnd w:id="139"/>
    <w:bookmarkStart w:name="z563" w:id="140"/>
    <w:p>
      <w:pPr>
        <w:spacing w:after="0"/>
        <w:ind w:left="0"/>
        <w:jc w:val="both"/>
      </w:pPr>
      <w:r>
        <w:rPr>
          <w:rFonts w:ascii="Times New Roman"/>
          <w:b w:val="false"/>
          <w:i w:val="false"/>
          <w:color w:val="000000"/>
          <w:sz w:val="28"/>
        </w:rPr>
        <w:t>
      не более 40 (сорока) процентов от совокупных обязательств с 1 июля 2025 года;</w:t>
      </w:r>
    </w:p>
    <w:bookmarkEnd w:id="140"/>
    <w:bookmarkStart w:name="z564" w:id="141"/>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141"/>
    <w:bookmarkStart w:name="z565" w:id="142"/>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bookmarkEnd w:id="142"/>
    <w:bookmarkStart w:name="z566" w:id="143"/>
    <w:p>
      <w:pPr>
        <w:spacing w:after="0"/>
        <w:ind w:left="0"/>
        <w:jc w:val="both"/>
      </w:pPr>
      <w:r>
        <w:rPr>
          <w:rFonts w:ascii="Times New Roman"/>
          <w:b w:val="false"/>
          <w:i w:val="false"/>
          <w:color w:val="000000"/>
          <w:sz w:val="28"/>
        </w:rPr>
        <w:t>
      Требования подпункта 7) настоящего пункта применяются к филиалу банка-нерезидента Республики Казахстан в случае, если коэффициент достаточности активов, принимаемых в качестве резерва (k1), предусмотренный в Нормативах № 23 равен или находится ниже 0,13 (ноль целых тринадцать сотых).</w:t>
      </w:r>
    </w:p>
    <w:bookmarkEnd w:id="143"/>
    <w:bookmarkStart w:name="z567" w:id="144"/>
    <w:p>
      <w:pPr>
        <w:spacing w:after="0"/>
        <w:ind w:left="0"/>
        <w:jc w:val="both"/>
      </w:pPr>
      <w:r>
        <w:rPr>
          <w:rFonts w:ascii="Times New Roman"/>
          <w:b w:val="false"/>
          <w:i w:val="false"/>
          <w:color w:val="000000"/>
          <w:sz w:val="28"/>
        </w:rPr>
        <w:t>
      Под нераспределенной чистой прибылью (непокрытым убытком) филиала банка-нерезидента Республики Казахстан понимается результат деятельности филиала банка-нерезидента Республики Казахстан (чистые доходы или чистые расходы).</w:t>
      </w:r>
    </w:p>
    <w:bookmarkEnd w:id="144"/>
    <w:bookmarkStart w:name="z568" w:id="145"/>
    <w:p>
      <w:pPr>
        <w:spacing w:after="0"/>
        <w:ind w:left="0"/>
        <w:jc w:val="both"/>
      </w:pPr>
      <w:r>
        <w:rPr>
          <w:rFonts w:ascii="Times New Roman"/>
          <w:b w:val="false"/>
          <w:i w:val="false"/>
          <w:color w:val="000000"/>
          <w:sz w:val="28"/>
        </w:rPr>
        <w:t xml:space="preserve">
      4. Показатели, включенные в расчет факторов, предусмотренных подпунктами 1), 2), 7) и 9) части первой пункта 1 настоящего постановления,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145"/>
    <w:bookmarkStart w:name="z569" w:id="146"/>
    <w:p>
      <w:pPr>
        <w:spacing w:after="0"/>
        <w:ind w:left="0"/>
        <w:jc w:val="both"/>
      </w:pPr>
      <w:r>
        <w:rPr>
          <w:rFonts w:ascii="Times New Roman"/>
          <w:b w:val="false"/>
          <w:i w:val="false"/>
          <w:color w:val="000000"/>
          <w:sz w:val="28"/>
        </w:rPr>
        <w:t>
      5. Определение факторов, влияющих на ухудшение финансового положения банковского конгломерата, осуществляется по следующей методике:</w:t>
      </w:r>
    </w:p>
    <w:bookmarkEnd w:id="146"/>
    <w:bookmarkStart w:name="z570" w:id="147"/>
    <w:p>
      <w:pPr>
        <w:spacing w:after="0"/>
        <w:ind w:left="0"/>
        <w:jc w:val="both"/>
      </w:pPr>
      <w:r>
        <w:rPr>
          <w:rFonts w:ascii="Times New Roman"/>
          <w:b w:val="false"/>
          <w:i w:val="false"/>
          <w:color w:val="000000"/>
          <w:sz w:val="28"/>
        </w:rPr>
        <w:t xml:space="preserve">
      1) снижение в отчетном квартале коэффициентов достаточности собственного капитала банковского конгломерата до или ниже уровня, превышающего на 0,02 (ноль целых две сотых) (включительно) минимальные значения коэффициентов достаточности собственного капитала банковского конгломерата, предусмотренных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размером капитала банковского конгломерата, утвержденными постановлением Правления Национального Банка Республики Казахстан от 26 декабря 2016 года № 309, зарегистрированным в Реестре государственной регистрации нормативных правовых актов под № 14790 (далее - Нормативы № 309);</w:t>
      </w:r>
    </w:p>
    <w:bookmarkEnd w:id="147"/>
    <w:bookmarkStart w:name="z571" w:id="148"/>
    <w:p>
      <w:pPr>
        <w:spacing w:after="0"/>
        <w:ind w:left="0"/>
        <w:jc w:val="both"/>
      </w:pPr>
      <w:r>
        <w:rPr>
          <w:rFonts w:ascii="Times New Roman"/>
          <w:b w:val="false"/>
          <w:i w:val="false"/>
          <w:color w:val="000000"/>
          <w:sz w:val="28"/>
        </w:rPr>
        <w:t>
      2) увеличение в отчетном квартале коэффициентов максимального размера риска на одного заемщика банковского конгломерата до уровня ниже на 0,01 (ноль целых одна сотая) (включительно) значений коэффициентов максимального размера риска на одного заемщика банковского конгломерата, установленных Нормативами № 309;</w:t>
      </w:r>
    </w:p>
    <w:bookmarkEnd w:id="148"/>
    <w:bookmarkStart w:name="z572" w:id="149"/>
    <w:p>
      <w:pPr>
        <w:spacing w:after="0"/>
        <w:ind w:left="0"/>
        <w:jc w:val="both"/>
      </w:pPr>
      <w:r>
        <w:rPr>
          <w:rFonts w:ascii="Times New Roman"/>
          <w:b w:val="false"/>
          <w:i w:val="false"/>
          <w:color w:val="000000"/>
          <w:sz w:val="28"/>
        </w:rPr>
        <w:t>
      3)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 сделок с дочерней организацией, приобретающей сомнительные и безнадежные активы родительского банка, сделок, закрытых на отчетную дату) до уровня 0,3 (ноль целых три десятых) от собственного капитала банковского конгломерата.</w:t>
      </w:r>
    </w:p>
    <w:bookmarkEnd w:id="149"/>
    <w:bookmarkStart w:name="z573" w:id="150"/>
    <w:p>
      <w:pPr>
        <w:spacing w:after="0"/>
        <w:ind w:left="0"/>
        <w:jc w:val="both"/>
      </w:pPr>
      <w:r>
        <w:rPr>
          <w:rFonts w:ascii="Times New Roman"/>
          <w:b w:val="false"/>
          <w:i w:val="false"/>
          <w:color w:val="000000"/>
          <w:sz w:val="28"/>
        </w:rPr>
        <w:t xml:space="preserve">
      6. Под суммой требований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 информация по которым предусматривается в отчете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 зарегистрированному в Реестре государственной регистрации нормативных правовых актов под № 19834.</w:t>
      </w:r>
    </w:p>
    <w:bookmarkEnd w:id="150"/>
    <w:bookmarkStart w:name="z574" w:id="151"/>
    <w:p>
      <w:pPr>
        <w:spacing w:after="0"/>
        <w:ind w:left="0"/>
        <w:jc w:val="both"/>
      </w:pPr>
      <w:r>
        <w:rPr>
          <w:rFonts w:ascii="Times New Roman"/>
          <w:b w:val="false"/>
          <w:i w:val="false"/>
          <w:color w:val="000000"/>
          <w:sz w:val="28"/>
        </w:rPr>
        <w:t>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 для производных финансовых инструментов, указанный в Таблице коэффициентов кредитного риска для производных финансовых инструментов.</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