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5854" w14:textId="4815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и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93. Зарегистрировано в Министерстве юстиции Республики Казахстан 30 декабря 2024 года № 35583.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 следующие изменения и дополнение:</w:t>
      </w:r>
    </w:p>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"8-4. Банк до заключения договора банковского займа посредством Интернет вносит данные об абонентском номере устройства сотовой связи клиента, направляет на указанный номер одноразовый пароль и проводит биометрическую идентификацию клиента посредством использования услуг Центра обмена идентификационными данными или с использованием биометрических данных, полученных посредством устройств банка, и представляет клиенту, помимо сведений и документов,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7 Правил, следующую информацию по банковскому займу:</w:t>
      </w:r>
    </w:p>
    <w:bookmarkEnd w:id="3"/>
    <w:bookmarkStart w:name="z9" w:id="4"/>
    <w:p>
      <w:pPr>
        <w:spacing w:after="0"/>
        <w:ind w:left="0"/>
        <w:jc w:val="both"/>
      </w:pPr>
      <w:r>
        <w:rPr>
          <w:rFonts w:ascii="Times New Roman"/>
          <w:b w:val="false"/>
          <w:i w:val="false"/>
          <w:color w:val="000000"/>
          <w:sz w:val="28"/>
        </w:rPr>
        <w:t>
      1) срок предоставления банковского займа;</w:t>
      </w:r>
    </w:p>
    <w:bookmarkEnd w:id="4"/>
    <w:bookmarkStart w:name="z10" w:id="5"/>
    <w:p>
      <w:pPr>
        <w:spacing w:after="0"/>
        <w:ind w:left="0"/>
        <w:jc w:val="both"/>
      </w:pPr>
      <w:r>
        <w:rPr>
          <w:rFonts w:ascii="Times New Roman"/>
          <w:b w:val="false"/>
          <w:i w:val="false"/>
          <w:color w:val="000000"/>
          <w:sz w:val="28"/>
        </w:rPr>
        <w:t>
      2) предельную сумму и валюту банковского займа;</w:t>
      </w:r>
    </w:p>
    <w:bookmarkEnd w:id="5"/>
    <w:bookmarkStart w:name="z11" w:id="6"/>
    <w:p>
      <w:pPr>
        <w:spacing w:after="0"/>
        <w:ind w:left="0"/>
        <w:jc w:val="both"/>
      </w:pPr>
      <w:r>
        <w:rPr>
          <w:rFonts w:ascii="Times New Roman"/>
          <w:b w:val="false"/>
          <w:i w:val="false"/>
          <w:color w:val="000000"/>
          <w:sz w:val="28"/>
        </w:rPr>
        <w:t>
      3) вид ставки вознаграждения: фиксированная или плавающая, порядок расчета в случае, если ставка вознаграждения является плавающей;</w:t>
      </w:r>
    </w:p>
    <w:bookmarkEnd w:id="6"/>
    <w:bookmarkStart w:name="z12" w:id="7"/>
    <w:p>
      <w:pPr>
        <w:spacing w:after="0"/>
        <w:ind w:left="0"/>
        <w:jc w:val="both"/>
      </w:pPr>
      <w:r>
        <w:rPr>
          <w:rFonts w:ascii="Times New Roman"/>
          <w:b w:val="false"/>
          <w:i w:val="false"/>
          <w:color w:val="000000"/>
          <w:sz w:val="28"/>
        </w:rPr>
        <w:t>
      4) размер ставки вознаграждения в годовых процентах и ее размер в достоверном, годовом, эффективном, сопоставимом исчислении (реальную стоимость) на дату обращения клиента;</w:t>
      </w:r>
    </w:p>
    <w:bookmarkEnd w:id="7"/>
    <w:bookmarkStart w:name="z13" w:id="8"/>
    <w:p>
      <w:pPr>
        <w:spacing w:after="0"/>
        <w:ind w:left="0"/>
        <w:jc w:val="both"/>
      </w:pPr>
      <w:r>
        <w:rPr>
          <w:rFonts w:ascii="Times New Roman"/>
          <w:b w:val="false"/>
          <w:i w:val="false"/>
          <w:color w:val="000000"/>
          <w:sz w:val="28"/>
        </w:rPr>
        <w:t>
      5) исчерпывающий перечень и размеры комиссий, тарифов и иных расходов, связанных с получением и обслуживанием (погашением) банковского займа, в пользу банка;</w:t>
      </w:r>
    </w:p>
    <w:bookmarkEnd w:id="8"/>
    <w:bookmarkStart w:name="z14" w:id="9"/>
    <w:p>
      <w:pPr>
        <w:spacing w:after="0"/>
        <w:ind w:left="0"/>
        <w:jc w:val="both"/>
      </w:pPr>
      <w:r>
        <w:rPr>
          <w:rFonts w:ascii="Times New Roman"/>
          <w:b w:val="false"/>
          <w:i w:val="false"/>
          <w:color w:val="000000"/>
          <w:sz w:val="28"/>
        </w:rPr>
        <w:t>
      6) ответственность и риски клиента в случае невыполнения обязательств по договору банковского займа;</w:t>
      </w:r>
    </w:p>
    <w:bookmarkEnd w:id="9"/>
    <w:bookmarkStart w:name="z15" w:id="10"/>
    <w:p>
      <w:pPr>
        <w:spacing w:after="0"/>
        <w:ind w:left="0"/>
        <w:jc w:val="both"/>
      </w:pPr>
      <w:r>
        <w:rPr>
          <w:rFonts w:ascii="Times New Roman"/>
          <w:b w:val="false"/>
          <w:i w:val="false"/>
          <w:color w:val="000000"/>
          <w:sz w:val="28"/>
        </w:rPr>
        <w:t>
      7) ответственность залогодателя, гаранта, поручителя и иного лица, являющегося стороной договора об обеспечении займа.</w:t>
      </w:r>
    </w:p>
    <w:bookmarkEnd w:id="10"/>
    <w:bookmarkStart w:name="z16" w:id="11"/>
    <w:p>
      <w:pPr>
        <w:spacing w:after="0"/>
        <w:ind w:left="0"/>
        <w:jc w:val="both"/>
      </w:pPr>
      <w:r>
        <w:rPr>
          <w:rFonts w:ascii="Times New Roman"/>
          <w:b w:val="false"/>
          <w:i w:val="false"/>
          <w:color w:val="000000"/>
          <w:sz w:val="28"/>
        </w:rPr>
        <w:t>
      Требование о проведении биометрической идентификации клиента, предусмотренное частью первой настоящего пункта, не распространяется в случае заключения посредством Интернет договора банковского займа, предусматривающего использование платежной карточки для осуществления платежей и (или) переводов денег в пределах суммы выданного банковского займа.</w:t>
      </w:r>
    </w:p>
    <w:bookmarkEnd w:id="11"/>
    <w:bookmarkStart w:name="z17" w:id="12"/>
    <w:p>
      <w:pPr>
        <w:spacing w:after="0"/>
        <w:ind w:left="0"/>
        <w:jc w:val="both"/>
      </w:pPr>
      <w:r>
        <w:rPr>
          <w:rFonts w:ascii="Times New Roman"/>
          <w:b w:val="false"/>
          <w:i w:val="false"/>
          <w:color w:val="000000"/>
          <w:sz w:val="28"/>
        </w:rPr>
        <w:t>
      8-6. При биометрической идентификации клиента обеспечивается защита от использования статичного изображения или видеозаписи для подделки биометрических данных клиента.</w:t>
      </w:r>
    </w:p>
    <w:bookmarkEnd w:id="12"/>
    <w:bookmarkStart w:name="z18" w:id="13"/>
    <w:p>
      <w:pPr>
        <w:spacing w:after="0"/>
        <w:ind w:left="0"/>
        <w:jc w:val="both"/>
      </w:pPr>
      <w:r>
        <w:rPr>
          <w:rFonts w:ascii="Times New Roman"/>
          <w:b w:val="false"/>
          <w:i w:val="false"/>
          <w:color w:val="000000"/>
          <w:sz w:val="28"/>
        </w:rPr>
        <w:t>
      8-7. В случае выявления банком незаконного распространения персональных данных клиента банк реализует дополнительные меры безопасности, включая, но не ограничиваясь:</w:t>
      </w:r>
    </w:p>
    <w:bookmarkEnd w:id="13"/>
    <w:bookmarkStart w:name="z19" w:id="14"/>
    <w:p>
      <w:pPr>
        <w:spacing w:after="0"/>
        <w:ind w:left="0"/>
        <w:jc w:val="both"/>
      </w:pPr>
      <w:r>
        <w:rPr>
          <w:rFonts w:ascii="Times New Roman"/>
          <w:b w:val="false"/>
          <w:i w:val="false"/>
          <w:color w:val="000000"/>
          <w:sz w:val="28"/>
        </w:rPr>
        <w:t>
      1) повторную биометрическую идентификацию клиента;</w:t>
      </w:r>
    </w:p>
    <w:bookmarkEnd w:id="14"/>
    <w:bookmarkStart w:name="z20" w:id="15"/>
    <w:p>
      <w:pPr>
        <w:spacing w:after="0"/>
        <w:ind w:left="0"/>
        <w:jc w:val="both"/>
      </w:pPr>
      <w:r>
        <w:rPr>
          <w:rFonts w:ascii="Times New Roman"/>
          <w:b w:val="false"/>
          <w:i w:val="false"/>
          <w:color w:val="000000"/>
          <w:sz w:val="28"/>
        </w:rPr>
        <w:t>
      2)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веб-портала "электронного правительства";</w:t>
      </w:r>
    </w:p>
    <w:bookmarkEnd w:id="15"/>
    <w:bookmarkStart w:name="z21" w:id="16"/>
    <w:p>
      <w:pPr>
        <w:spacing w:after="0"/>
        <w:ind w:left="0"/>
        <w:jc w:val="both"/>
      </w:pPr>
      <w:r>
        <w:rPr>
          <w:rFonts w:ascii="Times New Roman"/>
          <w:b w:val="false"/>
          <w:i w:val="false"/>
          <w:color w:val="000000"/>
          <w:sz w:val="28"/>
        </w:rPr>
        <w:t>
      3)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запрета на оформление кредитов.";</w:t>
      </w:r>
    </w:p>
    <w:bookmarkEnd w:id="16"/>
    <w:bookmarkStart w:name="z22" w:id="17"/>
    <w:p>
      <w:pPr>
        <w:spacing w:after="0"/>
        <w:ind w:left="0"/>
        <w:jc w:val="both"/>
      </w:pPr>
      <w:r>
        <w:rPr>
          <w:rFonts w:ascii="Times New Roman"/>
          <w:b w:val="false"/>
          <w:i w:val="false"/>
          <w:color w:val="000000"/>
          <w:sz w:val="28"/>
        </w:rPr>
        <w:t>
      дополнить пунктом 29-1 следующего содержания:</w:t>
      </w:r>
    </w:p>
    <w:bookmarkEnd w:id="17"/>
    <w:bookmarkStart w:name="z23" w:id="18"/>
    <w:p>
      <w:pPr>
        <w:spacing w:after="0"/>
        <w:ind w:left="0"/>
        <w:jc w:val="both"/>
      </w:pPr>
      <w:r>
        <w:rPr>
          <w:rFonts w:ascii="Times New Roman"/>
          <w:b w:val="false"/>
          <w:i w:val="false"/>
          <w:color w:val="000000"/>
          <w:sz w:val="28"/>
        </w:rPr>
        <w:t>
      "29-1. Обращения клиентов, поступающие через объекты информатизации банка, в том числе через мобильное приложение регистрируются в порядке, предусмотренном внутренними документами банка. Для этих целей в объектах информатизации, в том числе в мобильном приложении (при наличии) предусматривается легко идентифицируемый клиентом функционал для подачи жалобы.".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19"/>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19"/>
    <w:bookmarkStart w:name="z805" w:id="2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0"/>
    <w:bookmarkStart w:name="z806" w:id="2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21"/>
    <w:bookmarkStart w:name="z807"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22"/>
    <w:bookmarkStart w:name="z808" w:id="2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23"/>
    <w:bookmarkStart w:name="z809" w:id="2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24"/>
    <w:p>
      <w:pPr>
        <w:spacing w:after="0"/>
        <w:ind w:left="0"/>
        <w:jc w:val="both"/>
      </w:pPr>
      <w:r>
        <w:rPr>
          <w:rFonts w:ascii="Times New Roman"/>
          <w:b w:val="false"/>
          <w:i w:val="false"/>
          <w:color w:val="000000"/>
          <w:sz w:val="28"/>
        </w:rPr>
        <w:t xml:space="preserve">
      абзацев тридцать пятого, тридцать шестого, пятьдесят четвертого, пятьдесят пятого, шестьдесят третьего, шестьдесят четвертого, шестьдесят пятого, шестьдесят шестого, восемьдесят четвертого, восемьдесят девятого, сто шестого, сто седьмого, сто сорок первого, сто сорок восьмого, сто пятьдесят первого, сто шестьдесят второго, сто шестьдесят третьего, сто восемьдесят восьмого, сто восемьдесят девятого, сто девяностого, сто девяносто первого, сто девяносто второго, сто девяносто третьего, сто девяносто четвертого, сто девяносто пятого, двести третьего, двести четвертого,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сорок шестого, двести пятидесятого, двести пятьдесят шестого, двести пятьдесят седьмого, двести пятьдесят восьмого, двести шестидесятого,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семьдесят девятого, двести восьмидесятого, двести восемьдесят первого, двести восемьдесят второго, двести девяносто четвертого, двести девяносто пятого, двести девяносто шестого, двести девяносто седьмого, двести девяносто восьмого, двести девяносто девятого, трехсотого, триста первого, триста второго, триста третьего, триста четвертого, триста семьдесят девятого, четыреста семьдесят третьего, шестьсот четырнадцатого, шестьсот сорок девятого, шестьсот пятидесятого, шестьсот пятьдесят четвертого, шестьсот пятьдесят пятого, шестьсот пятьдесят шестого, шестьсот пятьдесят седьмого, шестьсот пятьдесят восьмого, шестьсот пятьдесят девятого, шестьсот шестидесятого, шестьсот шестьдесят первого, шестьсот шестьдесят второго, шестьсот шестьдесят третьего, шестьсот шестьдесят четвертого, шестьсот шестьдесят пятого, шестьсот шестьдесят шестого, шестьсот шестьдесят седьмого, шестьсот шестьдесят восьмого, шестьсот шестьдесят девятого, шестьсот семидесятого, шестьсот семьдесят первого, шестьсот семьдесят второго, шестьсот семьдесят третьего, шестьсот семьдесят четвертого, шестьсот семьдесят пятого, шестьсот семьдесят шестого, шестьсот семьдесят седьмого, шестьсот семьдесят восьмого, шестьсот семьдесят девятого, шестьсот восьмидесятого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с 1 июля 2027 года;</w:t>
      </w:r>
    </w:p>
    <w:p>
      <w:pPr>
        <w:spacing w:after="0"/>
        <w:ind w:left="0"/>
        <w:jc w:val="both"/>
      </w:pPr>
      <w:r>
        <w:rPr>
          <w:rFonts w:ascii="Times New Roman"/>
          <w:b w:val="false"/>
          <w:i w:val="false"/>
          <w:color w:val="000000"/>
          <w:sz w:val="28"/>
        </w:rPr>
        <w:t xml:space="preserve">
      абзацев семьсот шестьдесят первого, семьсот шестьдесят второго, семьсот шестьдесят третьего, семьсот шестьдесят четвертого, семьсот шестьдесят пятого, семьсот шестьдесят шестого, семьсот шестьдесят седьмого, семьсот шестьдесят восьмого, семьсот шестьдесят девятого, семьсот семидесятого, семьсот семьдесят первого, семьсот семьдесят второго, семьсот семьдесят третьего, семьсот семьдесят четвертого, семьсот семьдесят пятого, семьсот семьдесят шестого, семьсот семьдесят седьмого, семьсот семьдесят восьмого и семьсот восьмидесятого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с 1 июля 2025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93</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93</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93</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