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8645" w14:textId="eb78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26 декабря 2016 года № 315 "Об утверждении перечня, форм, сроков и Правил представления отчетности крупными участниками банков второго уровня, банковскими холдингами, банками второго уровня, крупными участниками страховых (перестраховочных) организаций, страховых холдингов, крупными участниками управляющих инвестиционным портфелем"</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декабря 2024 года № 80. Зарегистрировано в Министерстве юстиции Республики Казахстан 28 декабря 2024 года № 35565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315 "Об утверждении перечня, форм, сроков и Правил представления отчетности крупными участниками банков второго уровня, банковскими холдингами, банками второго уровня, крупными участниками страховых (перестраховочных) организаций, страховых холдингов, крупными участниками управляющих инвестиционным портфелем" (зарегистрировано в Реестре государственной регистрации нормативных правовых актов под № 14832)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w:t>
      </w:r>
    </w:p>
    <w:bookmarkEnd w:id="2"/>
    <w:bookmarkStart w:name="z8" w:id="3"/>
    <w:p>
      <w:pPr>
        <w:spacing w:after="0"/>
        <w:ind w:left="0"/>
        <w:jc w:val="both"/>
      </w:pPr>
      <w:r>
        <w:rPr>
          <w:rFonts w:ascii="Times New Roman"/>
          <w:b w:val="false"/>
          <w:i w:val="false"/>
          <w:color w:val="000000"/>
          <w:sz w:val="28"/>
        </w:rPr>
        <w:t xml:space="preserve">
      1) перечень отчетности крупных участников банков второго уровня, банковских холдингов, крупных участников страховых (перестраховочных) организаций, страховых холдингов, крупных участников управляющих инвестиционным портфелем, банков второго уровня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xml:space="preserve">
      2) форму отчета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4"/>
    <w:bookmarkStart w:name="z10" w:id="5"/>
    <w:p>
      <w:pPr>
        <w:spacing w:after="0"/>
        <w:ind w:left="0"/>
        <w:jc w:val="both"/>
      </w:pPr>
      <w:r>
        <w:rPr>
          <w:rFonts w:ascii="Times New Roman"/>
          <w:b w:val="false"/>
          <w:i w:val="false"/>
          <w:color w:val="000000"/>
          <w:sz w:val="28"/>
        </w:rPr>
        <w:t xml:space="preserve">
      3) форму отчета о крупном участнике банка второго уровня, страховой (перестраховочной) организации, управляющего инвестиционным портфелем, являющимся физическим лицом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5"/>
    <w:bookmarkStart w:name="z11" w:id="6"/>
    <w:p>
      <w:pPr>
        <w:spacing w:after="0"/>
        <w:ind w:left="0"/>
        <w:jc w:val="both"/>
      </w:pPr>
      <w:r>
        <w:rPr>
          <w:rFonts w:ascii="Times New Roman"/>
          <w:b w:val="false"/>
          <w:i w:val="false"/>
          <w:color w:val="000000"/>
          <w:sz w:val="28"/>
        </w:rPr>
        <w:t xml:space="preserve">
      4) форму отчета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6"/>
    <w:bookmarkStart w:name="z12" w:id="7"/>
    <w:p>
      <w:pPr>
        <w:spacing w:after="0"/>
        <w:ind w:left="0"/>
        <w:jc w:val="both"/>
      </w:pPr>
      <w:r>
        <w:rPr>
          <w:rFonts w:ascii="Times New Roman"/>
          <w:b w:val="false"/>
          <w:i w:val="false"/>
          <w:color w:val="000000"/>
          <w:sz w:val="28"/>
        </w:rPr>
        <w:t xml:space="preserve">
      5) форму отчета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и страховой холдинг является участником (акционером),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7"/>
    <w:bookmarkStart w:name="z13" w:id="8"/>
    <w:p>
      <w:pPr>
        <w:spacing w:after="0"/>
        <w:ind w:left="0"/>
        <w:jc w:val="both"/>
      </w:pPr>
      <w:r>
        <w:rPr>
          <w:rFonts w:ascii="Times New Roman"/>
          <w:b w:val="false"/>
          <w:i w:val="false"/>
          <w:color w:val="000000"/>
          <w:sz w:val="28"/>
        </w:rPr>
        <w:t xml:space="preserve">
      6) форму отчета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8"/>
    <w:bookmarkStart w:name="z14" w:id="9"/>
    <w:p>
      <w:pPr>
        <w:spacing w:after="0"/>
        <w:ind w:left="0"/>
        <w:jc w:val="both"/>
      </w:pPr>
      <w:r>
        <w:rPr>
          <w:rFonts w:ascii="Times New Roman"/>
          <w:b w:val="false"/>
          <w:i w:val="false"/>
          <w:color w:val="000000"/>
          <w:sz w:val="28"/>
        </w:rPr>
        <w:t xml:space="preserve">
      7) форму отчета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реестра связанных, в том числе аффилированных лиц,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9"/>
    <w:bookmarkStart w:name="z15" w:id="10"/>
    <w:p>
      <w:pPr>
        <w:spacing w:after="0"/>
        <w:ind w:left="0"/>
        <w:jc w:val="both"/>
      </w:pPr>
      <w:r>
        <w:rPr>
          <w:rFonts w:ascii="Times New Roman"/>
          <w:b w:val="false"/>
          <w:i w:val="false"/>
          <w:color w:val="000000"/>
          <w:sz w:val="28"/>
        </w:rPr>
        <w:t xml:space="preserve">
      8) форму отчета о расшифровке рабочих таблиц по составлению консолидированной финансовой отчетности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10"/>
    <w:bookmarkStart w:name="z16" w:id="11"/>
    <w:p>
      <w:pPr>
        <w:spacing w:after="0"/>
        <w:ind w:left="0"/>
        <w:jc w:val="both"/>
      </w:pPr>
      <w:r>
        <w:rPr>
          <w:rFonts w:ascii="Times New Roman"/>
          <w:b w:val="false"/>
          <w:i w:val="false"/>
          <w:color w:val="000000"/>
          <w:sz w:val="28"/>
        </w:rPr>
        <w:t xml:space="preserve">
      9) форму консолидированной и неконсолидированной финансовой отчетности и пояснительную записку к ней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1"/>
    <w:bookmarkStart w:name="z17" w:id="12"/>
    <w:p>
      <w:pPr>
        <w:spacing w:after="0"/>
        <w:ind w:left="0"/>
        <w:jc w:val="both"/>
      </w:pPr>
      <w:r>
        <w:rPr>
          <w:rFonts w:ascii="Times New Roman"/>
          <w:b w:val="false"/>
          <w:i w:val="false"/>
          <w:color w:val="000000"/>
          <w:sz w:val="28"/>
        </w:rPr>
        <w:t xml:space="preserve">
      10) форму отчета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источников средств, используемых для приобретения акций,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2"/>
    <w:bookmarkStart w:name="z18" w:id="13"/>
    <w:p>
      <w:pPr>
        <w:spacing w:after="0"/>
        <w:ind w:left="0"/>
        <w:jc w:val="both"/>
      </w:pPr>
      <w:r>
        <w:rPr>
          <w:rFonts w:ascii="Times New Roman"/>
          <w:b w:val="false"/>
          <w:i w:val="false"/>
          <w:color w:val="000000"/>
          <w:sz w:val="28"/>
        </w:rPr>
        <w:t xml:space="preserve">
      11) форму отчета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3"/>
    <w:bookmarkStart w:name="z19" w:id="14"/>
    <w:p>
      <w:pPr>
        <w:spacing w:after="0"/>
        <w:ind w:left="0"/>
        <w:jc w:val="both"/>
      </w:pPr>
      <w:r>
        <w:rPr>
          <w:rFonts w:ascii="Times New Roman"/>
          <w:b w:val="false"/>
          <w:i w:val="false"/>
          <w:color w:val="000000"/>
          <w:sz w:val="28"/>
        </w:rPr>
        <w:t xml:space="preserve">
      12) форму отчета о внутригрупповых сделках страховой группы, заключенных в течение отчетного периода, а также действующих по состоянию на отчетную дату,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4"/>
    <w:bookmarkStart w:name="z20" w:id="15"/>
    <w:p>
      <w:pPr>
        <w:spacing w:after="0"/>
        <w:ind w:left="0"/>
        <w:jc w:val="both"/>
      </w:pPr>
      <w:r>
        <w:rPr>
          <w:rFonts w:ascii="Times New Roman"/>
          <w:b w:val="false"/>
          <w:i w:val="false"/>
          <w:color w:val="000000"/>
          <w:sz w:val="28"/>
        </w:rPr>
        <w:t xml:space="preserve">
      13) форму отчета о правах требования, переданных дочерней организации, приобретающей сомнительные и безнадежные активы родительского банка,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5"/>
    <w:bookmarkStart w:name="z21" w:id="16"/>
    <w:p>
      <w:pPr>
        <w:spacing w:after="0"/>
        <w:ind w:left="0"/>
        <w:jc w:val="both"/>
      </w:pPr>
      <w:r>
        <w:rPr>
          <w:rFonts w:ascii="Times New Roman"/>
          <w:b w:val="false"/>
          <w:i w:val="false"/>
          <w:color w:val="000000"/>
          <w:sz w:val="28"/>
        </w:rPr>
        <w:t>
      14) форму отчета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приобретенному имуществу, согласно приложению 14 к настоящему постановлению;</w:t>
      </w:r>
    </w:p>
    <w:bookmarkEnd w:id="16"/>
    <w:bookmarkStart w:name="z22" w:id="17"/>
    <w:p>
      <w:pPr>
        <w:spacing w:after="0"/>
        <w:ind w:left="0"/>
        <w:jc w:val="both"/>
      </w:pPr>
      <w:r>
        <w:rPr>
          <w:rFonts w:ascii="Times New Roman"/>
          <w:b w:val="false"/>
          <w:i w:val="false"/>
          <w:color w:val="000000"/>
          <w:sz w:val="28"/>
        </w:rPr>
        <w:t>
      15) форму отчета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 согласно приложению 15 к настоящему постановлению;</w:t>
      </w:r>
    </w:p>
    <w:bookmarkEnd w:id="17"/>
    <w:bookmarkStart w:name="z23" w:id="18"/>
    <w:p>
      <w:pPr>
        <w:spacing w:after="0"/>
        <w:ind w:left="0"/>
        <w:jc w:val="both"/>
      </w:pPr>
      <w:r>
        <w:rPr>
          <w:rFonts w:ascii="Times New Roman"/>
          <w:b w:val="false"/>
          <w:i w:val="false"/>
          <w:color w:val="000000"/>
          <w:sz w:val="28"/>
        </w:rPr>
        <w:t>
      16) Правила представления отчетности крупными участниками банков второго уровня,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 согласно приложению 16 к настоящему постановлению.";</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5" w:id="19"/>
    <w:p>
      <w:pPr>
        <w:spacing w:after="0"/>
        <w:ind w:left="0"/>
        <w:jc w:val="both"/>
      </w:pPr>
      <w:r>
        <w:rPr>
          <w:rFonts w:ascii="Times New Roman"/>
          <w:b w:val="false"/>
          <w:i w:val="false"/>
          <w:color w:val="000000"/>
          <w:sz w:val="28"/>
        </w:rPr>
        <w:t>
      "2. Крупные участники банков второго уровня, банковские холдинги, крупные участники страховых (перестраховочных) организаций, страховые холдинги, крупные участники управляющих инвестиционным портфелем, банки второго уровня представляют в Национальный Банк Республики Казахстан в электронном формате следующую отчетность:</w:t>
      </w:r>
    </w:p>
    <w:bookmarkEnd w:id="19"/>
    <w:bookmarkStart w:name="z26" w:id="20"/>
    <w:p>
      <w:pPr>
        <w:spacing w:after="0"/>
        <w:ind w:left="0"/>
        <w:jc w:val="both"/>
      </w:pPr>
      <w:r>
        <w:rPr>
          <w:rFonts w:ascii="Times New Roman"/>
          <w:b w:val="false"/>
          <w:i w:val="false"/>
          <w:color w:val="000000"/>
          <w:sz w:val="28"/>
        </w:rPr>
        <w:t xml:space="preserve">
      1) крупный участник банка второго уровня, страховой (перестраховочной) организации, управляющего инвестиционным портфелем, являющийся физическим лицом, отчетность, предусмотренную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настоящего постановления, ежегодно, не позднее 120 (ста двадцати) календарных дней по окончании финансового года;</w:t>
      </w:r>
    </w:p>
    <w:bookmarkEnd w:id="20"/>
    <w:bookmarkStart w:name="z27" w:id="21"/>
    <w:p>
      <w:pPr>
        <w:spacing w:after="0"/>
        <w:ind w:left="0"/>
        <w:jc w:val="both"/>
      </w:pPr>
      <w:r>
        <w:rPr>
          <w:rFonts w:ascii="Times New Roman"/>
          <w:b w:val="false"/>
          <w:i w:val="false"/>
          <w:color w:val="000000"/>
          <w:sz w:val="28"/>
        </w:rPr>
        <w:t>
      2) крупный участник банка второго уровня, являющийся юридическим лицом-резидентом Республики Казахстан, банковский холдинг, являющийся резидентом Республики Казахстан, за исключением банков второго уровня, имеющих статус крупного участника банка второго уровня или банковского холдинга:</w:t>
      </w:r>
    </w:p>
    <w:bookmarkEnd w:id="21"/>
    <w:bookmarkStart w:name="z28" w:id="22"/>
    <w:p>
      <w:pPr>
        <w:spacing w:after="0"/>
        <w:ind w:left="0"/>
        <w:jc w:val="both"/>
      </w:pPr>
      <w:r>
        <w:rPr>
          <w:rFonts w:ascii="Times New Roman"/>
          <w:b w:val="false"/>
          <w:i w:val="false"/>
          <w:color w:val="000000"/>
          <w:sz w:val="28"/>
        </w:rPr>
        <w:t xml:space="preserve">
      отчетность, предусмотренную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настоящего постановления, ежеквартально, не позднее 30 (тридцати) календарных дней, следующих за отчетным кварталом;</w:t>
      </w:r>
    </w:p>
    <w:bookmarkEnd w:id="22"/>
    <w:bookmarkStart w:name="z29" w:id="23"/>
    <w:p>
      <w:pPr>
        <w:spacing w:after="0"/>
        <w:ind w:left="0"/>
        <w:jc w:val="both"/>
      </w:pPr>
      <w:r>
        <w:rPr>
          <w:rFonts w:ascii="Times New Roman"/>
          <w:b w:val="false"/>
          <w:i w:val="false"/>
          <w:color w:val="000000"/>
          <w:sz w:val="28"/>
        </w:rPr>
        <w:t xml:space="preserve">
      отчетность, предусмотренную </w:t>
      </w:r>
      <w:r>
        <w:rPr>
          <w:rFonts w:ascii="Times New Roman"/>
          <w:b w:val="false"/>
          <w:i w:val="false"/>
          <w:color w:val="000000"/>
          <w:sz w:val="28"/>
        </w:rPr>
        <w:t>подпунктом 6)</w:t>
      </w:r>
      <w:r>
        <w:rPr>
          <w:rFonts w:ascii="Times New Roman"/>
          <w:b w:val="false"/>
          <w:i w:val="false"/>
          <w:color w:val="000000"/>
          <w:sz w:val="28"/>
        </w:rPr>
        <w:t xml:space="preserve"> пункта 1 настоящего постановления, ежеквартально, не позднее 10 (десятого) числа месяца, следующего за отчетным кварталом;</w:t>
      </w:r>
    </w:p>
    <w:bookmarkEnd w:id="23"/>
    <w:bookmarkStart w:name="z30" w:id="24"/>
    <w:p>
      <w:pPr>
        <w:spacing w:after="0"/>
        <w:ind w:left="0"/>
        <w:jc w:val="both"/>
      </w:pPr>
      <w:r>
        <w:rPr>
          <w:rFonts w:ascii="Times New Roman"/>
          <w:b w:val="false"/>
          <w:i w:val="false"/>
          <w:color w:val="000000"/>
          <w:sz w:val="28"/>
        </w:rPr>
        <w:t xml:space="preserve">
      3) страховой холдинг, являющийся резидентом Республики Казахстан, за исключением банков второго уровня, имеющих статус страхового холдинга, а также страховой (перестраховочной) организации, имеющей статус страхового холдинга, отчетность, предусмотренную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настоящего постановления, ежеквартально, не позднее 30 (тридцати) календарных дней, следующих за отчетным кварталом;</w:t>
      </w:r>
    </w:p>
    <w:bookmarkEnd w:id="24"/>
    <w:bookmarkStart w:name="z31" w:id="25"/>
    <w:p>
      <w:pPr>
        <w:spacing w:after="0"/>
        <w:ind w:left="0"/>
        <w:jc w:val="both"/>
      </w:pPr>
      <w:r>
        <w:rPr>
          <w:rFonts w:ascii="Times New Roman"/>
          <w:b w:val="false"/>
          <w:i w:val="false"/>
          <w:color w:val="000000"/>
          <w:sz w:val="28"/>
        </w:rPr>
        <w:t xml:space="preserve">
      4) крупный участник страховой (перестраховочной) организации, являющийся юридическим лицом-резидентом Республики Казахстан, за исключением банков второго уровня, имеющих статус крупного участника страховой (перестраховочной) организации, а также страховой (перестраховочной) организации, имеющей статус крупного участника страховой (перестраховочной) организации, отчетность, предусмотренную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настоящего постановления, ежегодно, не позднее 30 (тридцати) календарных дней по окончании финансового года;</w:t>
      </w:r>
    </w:p>
    <w:bookmarkEnd w:id="25"/>
    <w:bookmarkStart w:name="z32" w:id="26"/>
    <w:p>
      <w:pPr>
        <w:spacing w:after="0"/>
        <w:ind w:left="0"/>
        <w:jc w:val="both"/>
      </w:pPr>
      <w:r>
        <w:rPr>
          <w:rFonts w:ascii="Times New Roman"/>
          <w:b w:val="false"/>
          <w:i w:val="false"/>
          <w:color w:val="000000"/>
          <w:sz w:val="28"/>
        </w:rPr>
        <w:t xml:space="preserve">
      5) крупный участник страховой (перестраховочной) организации, являющийся юридическим лицом-резидентом Республики Казахстан, в случае отсутствия у страховой (перестраховочной) организации страхового холдинга, за исключением банков второго уровня, имеющих статус крупного участника страховой (перестраховочной) организации, а также страховой (перестраховочной) организации, имеющей статус крупного участника страховой (перестраховочной) организации или страхового холдинга, отчетность, предусмотренную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настоящего постановления, ежеквартально, не позднее 30 (тридцати) календарных дней, следующих за отчетным кварталом;</w:t>
      </w:r>
    </w:p>
    <w:bookmarkEnd w:id="26"/>
    <w:bookmarkStart w:name="z33" w:id="27"/>
    <w:p>
      <w:pPr>
        <w:spacing w:after="0"/>
        <w:ind w:left="0"/>
        <w:jc w:val="both"/>
      </w:pPr>
      <w:r>
        <w:rPr>
          <w:rFonts w:ascii="Times New Roman"/>
          <w:b w:val="false"/>
          <w:i w:val="false"/>
          <w:color w:val="000000"/>
          <w:sz w:val="28"/>
        </w:rPr>
        <w:t xml:space="preserve">
      6) крупный участник управляющего инвестиционным портфелем, являющийся юридическим лицом-резидентом Республики Казахстан, за исключением банков второго уровня, имеющих статус крупного участника управляющего инвестиционным портфелем, отчетность, предусмотренную </w:t>
      </w:r>
      <w:r>
        <w:rPr>
          <w:rFonts w:ascii="Times New Roman"/>
          <w:b w:val="false"/>
          <w:i w:val="false"/>
          <w:color w:val="000000"/>
          <w:sz w:val="28"/>
        </w:rPr>
        <w:t>подпунктами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настоящего постановления:</w:t>
      </w:r>
    </w:p>
    <w:bookmarkEnd w:id="27"/>
    <w:bookmarkStart w:name="z34" w:id="28"/>
    <w:p>
      <w:pPr>
        <w:spacing w:after="0"/>
        <w:ind w:left="0"/>
        <w:jc w:val="both"/>
      </w:pPr>
      <w:r>
        <w:rPr>
          <w:rFonts w:ascii="Times New Roman"/>
          <w:b w:val="false"/>
          <w:i w:val="false"/>
          <w:color w:val="000000"/>
          <w:sz w:val="28"/>
        </w:rPr>
        <w:t>
      ежеквартально, не позднее 30 (тридцати) календарных дней, следующих за отчетным кварталом;</w:t>
      </w:r>
    </w:p>
    <w:bookmarkEnd w:id="28"/>
    <w:bookmarkStart w:name="z35" w:id="29"/>
    <w:p>
      <w:pPr>
        <w:spacing w:after="0"/>
        <w:ind w:left="0"/>
        <w:jc w:val="both"/>
      </w:pPr>
      <w:r>
        <w:rPr>
          <w:rFonts w:ascii="Times New Roman"/>
          <w:b w:val="false"/>
          <w:i w:val="false"/>
          <w:color w:val="000000"/>
          <w:sz w:val="28"/>
        </w:rPr>
        <w:t>
      ежегодно, не позднее 30 (тридцати) календарных дней по окончании финансового года;</w:t>
      </w:r>
    </w:p>
    <w:bookmarkEnd w:id="29"/>
    <w:bookmarkStart w:name="z36" w:id="30"/>
    <w:p>
      <w:pPr>
        <w:spacing w:after="0"/>
        <w:ind w:left="0"/>
        <w:jc w:val="both"/>
      </w:pPr>
      <w:r>
        <w:rPr>
          <w:rFonts w:ascii="Times New Roman"/>
          <w:b w:val="false"/>
          <w:i w:val="false"/>
          <w:color w:val="000000"/>
          <w:sz w:val="28"/>
        </w:rPr>
        <w:t>
      7) банковский холдинг, банк второго уровня, не имеющий банковского холдинга, входящие в состав банковского конгломерата, страховой холдинг, входящий в состав страховой группы, отчетность, предусмотренную подпунктом 8) пункта 1 настоящего постановления:</w:t>
      </w:r>
    </w:p>
    <w:bookmarkEnd w:id="30"/>
    <w:bookmarkStart w:name="z37" w:id="31"/>
    <w:p>
      <w:pPr>
        <w:spacing w:after="0"/>
        <w:ind w:left="0"/>
        <w:jc w:val="both"/>
      </w:pPr>
      <w:r>
        <w:rPr>
          <w:rFonts w:ascii="Times New Roman"/>
          <w:b w:val="false"/>
          <w:i w:val="false"/>
          <w:color w:val="000000"/>
          <w:sz w:val="28"/>
        </w:rPr>
        <w:t>
      ежеквартально, не позднее 60 (шестидесяти) календарных дней, следующих за отчетным кварталом;</w:t>
      </w:r>
    </w:p>
    <w:bookmarkEnd w:id="31"/>
    <w:bookmarkStart w:name="z38" w:id="32"/>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32"/>
    <w:bookmarkStart w:name="z39" w:id="33"/>
    <w:p>
      <w:pPr>
        <w:spacing w:after="0"/>
        <w:ind w:left="0"/>
        <w:jc w:val="both"/>
      </w:pPr>
      <w:r>
        <w:rPr>
          <w:rFonts w:ascii="Times New Roman"/>
          <w:b w:val="false"/>
          <w:i w:val="false"/>
          <w:color w:val="000000"/>
          <w:sz w:val="28"/>
        </w:rPr>
        <w:t>
      8) крупный участник банка второго уровня, являющийся юридическим лицом-резидентом Республики Казахстан, банковский холдинг, являющийся резидентом Республики Казахстан, банк второго уровня, не имеющий банковского холдинга, входящий в состав банковского конгломерата, страховой холдинг, являющийся резидентом Республики Казахстан, крупный участник управляющего инвестиционным портфелем, являющийся юридическим лицом-резидентом Республики Казахстан, за исключением банков второго уровня, отчетность, предусмотренную подпунктом 9) пункта 1 настоящего постановления, в части консолидированной финансовой отчетности:</w:t>
      </w:r>
    </w:p>
    <w:bookmarkEnd w:id="33"/>
    <w:bookmarkStart w:name="z40" w:id="34"/>
    <w:p>
      <w:pPr>
        <w:spacing w:after="0"/>
        <w:ind w:left="0"/>
        <w:jc w:val="both"/>
      </w:pPr>
      <w:r>
        <w:rPr>
          <w:rFonts w:ascii="Times New Roman"/>
          <w:b w:val="false"/>
          <w:i w:val="false"/>
          <w:color w:val="000000"/>
          <w:sz w:val="28"/>
        </w:rPr>
        <w:t>
      ежеквартально, не позднее 60 (шестидесяти) календарных дней, следующих за отчетным кварталом;</w:t>
      </w:r>
    </w:p>
    <w:bookmarkEnd w:id="34"/>
    <w:bookmarkStart w:name="z41" w:id="35"/>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35"/>
    <w:bookmarkStart w:name="z42" w:id="36"/>
    <w:p>
      <w:pPr>
        <w:spacing w:after="0"/>
        <w:ind w:left="0"/>
        <w:jc w:val="both"/>
      </w:pPr>
      <w:r>
        <w:rPr>
          <w:rFonts w:ascii="Times New Roman"/>
          <w:b w:val="false"/>
          <w:i w:val="false"/>
          <w:color w:val="000000"/>
          <w:sz w:val="28"/>
        </w:rPr>
        <w:t>
      в части неконсолидированной финансовой отчетности:</w:t>
      </w:r>
    </w:p>
    <w:bookmarkEnd w:id="36"/>
    <w:bookmarkStart w:name="z43" w:id="37"/>
    <w:p>
      <w:pPr>
        <w:spacing w:after="0"/>
        <w:ind w:left="0"/>
        <w:jc w:val="both"/>
      </w:pPr>
      <w:r>
        <w:rPr>
          <w:rFonts w:ascii="Times New Roman"/>
          <w:b w:val="false"/>
          <w:i w:val="false"/>
          <w:color w:val="000000"/>
          <w:sz w:val="28"/>
        </w:rPr>
        <w:t>
      ежеквартально, не позднее 30 (тридцати) календарных дней, следующих за отчетным кварталом;</w:t>
      </w:r>
    </w:p>
    <w:bookmarkEnd w:id="37"/>
    <w:bookmarkStart w:name="z44" w:id="38"/>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38"/>
    <w:bookmarkStart w:name="z45" w:id="39"/>
    <w:p>
      <w:pPr>
        <w:spacing w:after="0"/>
        <w:ind w:left="0"/>
        <w:jc w:val="both"/>
      </w:pPr>
      <w:r>
        <w:rPr>
          <w:rFonts w:ascii="Times New Roman"/>
          <w:b w:val="false"/>
          <w:i w:val="false"/>
          <w:color w:val="000000"/>
          <w:sz w:val="28"/>
        </w:rPr>
        <w:t xml:space="preserve">
      9) крупный участник страховой (перестраховочной) организации, являющийся юридическим лицом-резидентом, в случае отсутствия у страховой (перестраховочной) организации страхового холдинга, отчетность, предусмотренную </w:t>
      </w:r>
      <w:r>
        <w:rPr>
          <w:rFonts w:ascii="Times New Roman"/>
          <w:b w:val="false"/>
          <w:i w:val="false"/>
          <w:color w:val="000000"/>
          <w:sz w:val="28"/>
        </w:rPr>
        <w:t>подпунктом 9)</w:t>
      </w:r>
      <w:r>
        <w:rPr>
          <w:rFonts w:ascii="Times New Roman"/>
          <w:b w:val="false"/>
          <w:i w:val="false"/>
          <w:color w:val="000000"/>
          <w:sz w:val="28"/>
        </w:rPr>
        <w:t xml:space="preserve"> пункта 1 настоящего постановления, в части неконсолидированной финансовой отчетности:</w:t>
      </w:r>
    </w:p>
    <w:bookmarkEnd w:id="39"/>
    <w:bookmarkStart w:name="z46" w:id="40"/>
    <w:p>
      <w:pPr>
        <w:spacing w:after="0"/>
        <w:ind w:left="0"/>
        <w:jc w:val="both"/>
      </w:pPr>
      <w:r>
        <w:rPr>
          <w:rFonts w:ascii="Times New Roman"/>
          <w:b w:val="false"/>
          <w:i w:val="false"/>
          <w:color w:val="000000"/>
          <w:sz w:val="28"/>
        </w:rPr>
        <w:t>
      ежеквартально, не позднее 30 (тридцати) календарных дней, следующих за отчетным кварталом;</w:t>
      </w:r>
    </w:p>
    <w:bookmarkEnd w:id="40"/>
    <w:bookmarkStart w:name="z47" w:id="41"/>
    <w:p>
      <w:pPr>
        <w:spacing w:after="0"/>
        <w:ind w:left="0"/>
        <w:jc w:val="both"/>
      </w:pPr>
      <w:r>
        <w:rPr>
          <w:rFonts w:ascii="Times New Roman"/>
          <w:b w:val="false"/>
          <w:i w:val="false"/>
          <w:color w:val="000000"/>
          <w:sz w:val="28"/>
        </w:rPr>
        <w:t>
      ежегодно, не позднее 120 (ста двадцати) календарных дней по окончании финансового года;</w:t>
      </w:r>
    </w:p>
    <w:bookmarkEnd w:id="41"/>
    <w:bookmarkStart w:name="z48" w:id="42"/>
    <w:p>
      <w:pPr>
        <w:spacing w:after="0"/>
        <w:ind w:left="0"/>
        <w:jc w:val="both"/>
      </w:pPr>
      <w:r>
        <w:rPr>
          <w:rFonts w:ascii="Times New Roman"/>
          <w:b w:val="false"/>
          <w:i w:val="false"/>
          <w:color w:val="000000"/>
          <w:sz w:val="28"/>
        </w:rPr>
        <w:t>
      10) крупный участник банка второго уровня, страховой (перестраховочной) организации, являющийся юридическим или физическим лицом, банковский холдинг, страховой холдинг отчетность, предусмотренную подпунктом 10) пункта 1 настоящего постановления, в течение 30 (тридцати) календарных дней со дня принятия решения об изменении количества и (или) процентного соотношения принадлежащих ему акций;</w:t>
      </w:r>
    </w:p>
    <w:bookmarkEnd w:id="42"/>
    <w:bookmarkStart w:name="z49" w:id="43"/>
    <w:p>
      <w:pPr>
        <w:spacing w:after="0"/>
        <w:ind w:left="0"/>
        <w:jc w:val="both"/>
      </w:pPr>
      <w:r>
        <w:rPr>
          <w:rFonts w:ascii="Times New Roman"/>
          <w:b w:val="false"/>
          <w:i w:val="false"/>
          <w:color w:val="000000"/>
          <w:sz w:val="28"/>
        </w:rPr>
        <w:t xml:space="preserve">
      11) страховой холдинг, входящий в состав страховой группы, отчетность, предусмотренную </w:t>
      </w:r>
      <w:r>
        <w:rPr>
          <w:rFonts w:ascii="Times New Roman"/>
          <w:b w:val="false"/>
          <w:i w:val="false"/>
          <w:color w:val="000000"/>
          <w:sz w:val="28"/>
        </w:rPr>
        <w:t>подпунктами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1 настоящего постановления, ежеквартально не позднее 60 (шестидесяти) календарных дней, следующих за отчетным кварталом;</w:t>
      </w:r>
    </w:p>
    <w:bookmarkEnd w:id="43"/>
    <w:bookmarkStart w:name="z50" w:id="44"/>
    <w:p>
      <w:pPr>
        <w:spacing w:after="0"/>
        <w:ind w:left="0"/>
        <w:jc w:val="both"/>
      </w:pPr>
      <w:r>
        <w:rPr>
          <w:rFonts w:ascii="Times New Roman"/>
          <w:b w:val="false"/>
          <w:i w:val="false"/>
          <w:color w:val="000000"/>
          <w:sz w:val="28"/>
        </w:rPr>
        <w:t>
      12)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холдинг-нерезиденты Республики Казахстан, ежегодно, не позднее 150 (ста пятидесяти) календарных дней по окончании финансового года, консолидированную, при наличии неконсолидированную годовую финансовую отчетность и пояснительную записку к ней, заверенные аудиторской организацией, на казахском или русском языках.</w:t>
      </w:r>
    </w:p>
    <w:bookmarkEnd w:id="44"/>
    <w:bookmarkStart w:name="z51" w:id="45"/>
    <w:p>
      <w:pPr>
        <w:spacing w:after="0"/>
        <w:ind w:left="0"/>
        <w:jc w:val="both"/>
      </w:pPr>
      <w:r>
        <w:rPr>
          <w:rFonts w:ascii="Times New Roman"/>
          <w:b w:val="false"/>
          <w:i w:val="false"/>
          <w:color w:val="000000"/>
          <w:sz w:val="28"/>
        </w:rPr>
        <w:t>
      Пояснительная записка составляется в соответствии с требованиями соответствующего надзорного органа страны своего места нахождения;</w:t>
      </w:r>
    </w:p>
    <w:bookmarkEnd w:id="45"/>
    <w:bookmarkStart w:name="z52" w:id="46"/>
    <w:p>
      <w:pPr>
        <w:spacing w:after="0"/>
        <w:ind w:left="0"/>
        <w:jc w:val="both"/>
      </w:pPr>
      <w:r>
        <w:rPr>
          <w:rFonts w:ascii="Times New Roman"/>
          <w:b w:val="false"/>
          <w:i w:val="false"/>
          <w:color w:val="000000"/>
          <w:sz w:val="28"/>
        </w:rPr>
        <w:t xml:space="preserve">
      13) банковский холдинг-нерезидент Республики Казахстан отчетность, предусмотренную </w:t>
      </w:r>
      <w:r>
        <w:rPr>
          <w:rFonts w:ascii="Times New Roman"/>
          <w:b w:val="false"/>
          <w:i w:val="false"/>
          <w:color w:val="000000"/>
          <w:sz w:val="28"/>
        </w:rPr>
        <w:t>подпунктом 6)</w:t>
      </w:r>
      <w:r>
        <w:rPr>
          <w:rFonts w:ascii="Times New Roman"/>
          <w:b w:val="false"/>
          <w:i w:val="false"/>
          <w:color w:val="000000"/>
          <w:sz w:val="28"/>
        </w:rPr>
        <w:t xml:space="preserve"> пункта 1 настоящего постановления, ежеквартально не позднее 10 (десятого) числа месяца, следующего за отчетным кварталом.</w:t>
      </w:r>
    </w:p>
    <w:bookmarkEnd w:id="46"/>
    <w:bookmarkStart w:name="z53" w:id="47"/>
    <w:p>
      <w:pPr>
        <w:spacing w:after="0"/>
        <w:ind w:left="0"/>
        <w:jc w:val="both"/>
      </w:pPr>
      <w:r>
        <w:rPr>
          <w:rFonts w:ascii="Times New Roman"/>
          <w:b w:val="false"/>
          <w:i w:val="false"/>
          <w:color w:val="000000"/>
          <w:sz w:val="28"/>
        </w:rPr>
        <w:t xml:space="preserve">
      14) банки второго уровня, имеющие дочернюю организацию, приобретающую сомнительные и безнадежные активы родительского банка, отчетность, предусмотренную </w:t>
      </w:r>
      <w:r>
        <w:rPr>
          <w:rFonts w:ascii="Times New Roman"/>
          <w:b w:val="false"/>
          <w:i w:val="false"/>
          <w:color w:val="000000"/>
          <w:sz w:val="28"/>
        </w:rPr>
        <w:t>подпунктами 13)</w:t>
      </w:r>
      <w:r>
        <w:rPr>
          <w:rFonts w:ascii="Times New Roman"/>
          <w:b w:val="false"/>
          <w:i w:val="false"/>
          <w:color w:val="000000"/>
          <w:sz w:val="28"/>
        </w:rPr>
        <w:t>, 14) и 15) пункта 1 настоящего постановления, ежеквартально, не позднее 30 (тридцати) календарных дней, следующих за отчетным кварталом.";</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56" w:id="48"/>
    <w:p>
      <w:pPr>
        <w:spacing w:after="0"/>
        <w:ind w:left="0"/>
        <w:jc w:val="both"/>
      </w:pPr>
      <w:r>
        <w:rPr>
          <w:rFonts w:ascii="Times New Roman"/>
          <w:b w:val="false"/>
          <w:i w:val="false"/>
          <w:color w:val="000000"/>
          <w:sz w:val="28"/>
        </w:rPr>
        <w:t xml:space="preserve">
      дополнить приложениями 14, 15 и 16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постановлению.</w:t>
      </w:r>
    </w:p>
    <w:bookmarkEnd w:id="48"/>
    <w:bookmarkStart w:name="z57" w:id="49"/>
    <w:p>
      <w:pPr>
        <w:spacing w:after="0"/>
        <w:ind w:left="0"/>
        <w:jc w:val="both"/>
      </w:pPr>
      <w:r>
        <w:rPr>
          <w:rFonts w:ascii="Times New Roman"/>
          <w:b w:val="false"/>
          <w:i w:val="false"/>
          <w:color w:val="000000"/>
          <w:sz w:val="28"/>
        </w:rPr>
        <w:t>
      2.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49"/>
    <w:bookmarkStart w:name="z58" w:id="50"/>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50"/>
    <w:bookmarkStart w:name="z59" w:id="51"/>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1"/>
    <w:bookmarkStart w:name="z60" w:id="5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52"/>
    <w:bookmarkStart w:name="z61" w:id="5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53"/>
    <w:bookmarkStart w:name="z62" w:id="54"/>
    <w:p>
      <w:pPr>
        <w:spacing w:after="0"/>
        <w:ind w:left="0"/>
        <w:jc w:val="both"/>
      </w:pPr>
      <w:r>
        <w:rPr>
          <w:rFonts w:ascii="Times New Roman"/>
          <w:b w:val="false"/>
          <w:i w:val="false"/>
          <w:color w:val="000000"/>
          <w:sz w:val="28"/>
        </w:rPr>
        <w:t>
      4. Настоящее постановление вводится в действие с 1 января 2025 года и подлежит официальному опубликованию.</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64" w:id="55"/>
      <w:r>
        <w:rPr>
          <w:rFonts w:ascii="Times New Roman"/>
          <w:b w:val="false"/>
          <w:i w:val="false"/>
          <w:color w:val="000000"/>
          <w:sz w:val="28"/>
        </w:rPr>
        <w:t>
      СОГЛАСОВАНО</w:t>
      </w:r>
    </w:p>
    <w:bookmarkEnd w:id="55"/>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65" w:id="56"/>
      <w:r>
        <w:rPr>
          <w:rFonts w:ascii="Times New Roman"/>
          <w:b w:val="false"/>
          <w:i w:val="false"/>
          <w:color w:val="000000"/>
          <w:sz w:val="28"/>
        </w:rPr>
        <w:t>
      СОГЛАСОВАНО</w:t>
      </w:r>
    </w:p>
    <w:bookmarkEnd w:id="56"/>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68" w:id="57"/>
    <w:p>
      <w:pPr>
        <w:spacing w:after="0"/>
        <w:ind w:left="0"/>
        <w:jc w:val="left"/>
      </w:pPr>
      <w:r>
        <w:rPr>
          <w:rFonts w:ascii="Times New Roman"/>
          <w:b/>
          <w:i w:val="false"/>
          <w:color w:val="000000"/>
        </w:rPr>
        <w:t xml:space="preserve"> Перечень отчетности крупных участников банков второго уровня, банковских холдингов, крупных участников страховых (перестраховочных) организаций, страховых холдингов, крупных участников управляющих инвестиционным портфелем, банков второго уровня</w:t>
      </w:r>
    </w:p>
    <w:bookmarkEnd w:id="57"/>
    <w:bookmarkStart w:name="z69" w:id="58"/>
    <w:p>
      <w:pPr>
        <w:spacing w:after="0"/>
        <w:ind w:left="0"/>
        <w:jc w:val="both"/>
      </w:pPr>
      <w:r>
        <w:rPr>
          <w:rFonts w:ascii="Times New Roman"/>
          <w:b w:val="false"/>
          <w:i w:val="false"/>
          <w:color w:val="000000"/>
          <w:sz w:val="28"/>
        </w:rPr>
        <w:t>
      Отчетность крупных участников банков второго уровня, банковских холдингов, крупных участников страховых (перестраховочных) организаций, страховых холдингов, крупных участников управляющих инвестиционным портфелем, банков второго уровня включает в себя:</w:t>
      </w:r>
    </w:p>
    <w:bookmarkEnd w:id="58"/>
    <w:bookmarkStart w:name="z70" w:id="59"/>
    <w:p>
      <w:pPr>
        <w:spacing w:after="0"/>
        <w:ind w:left="0"/>
        <w:jc w:val="both"/>
      </w:pPr>
      <w:r>
        <w:rPr>
          <w:rFonts w:ascii="Times New Roman"/>
          <w:b w:val="false"/>
          <w:i w:val="false"/>
          <w:color w:val="000000"/>
          <w:sz w:val="28"/>
        </w:rPr>
        <w:t>
      1) форму отчета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w:t>
      </w:r>
    </w:p>
    <w:bookmarkEnd w:id="59"/>
    <w:bookmarkStart w:name="z71" w:id="60"/>
    <w:p>
      <w:pPr>
        <w:spacing w:after="0"/>
        <w:ind w:left="0"/>
        <w:jc w:val="both"/>
      </w:pPr>
      <w:r>
        <w:rPr>
          <w:rFonts w:ascii="Times New Roman"/>
          <w:b w:val="false"/>
          <w:i w:val="false"/>
          <w:color w:val="000000"/>
          <w:sz w:val="28"/>
        </w:rPr>
        <w:t>
      2) форму отчета о крупном участнике банка второго уровня, страховой (перестраховочной) организации, управляющего инвестиционным портфелем, являющимся физическим лицом;</w:t>
      </w:r>
    </w:p>
    <w:bookmarkEnd w:id="60"/>
    <w:bookmarkStart w:name="z72" w:id="61"/>
    <w:p>
      <w:pPr>
        <w:spacing w:after="0"/>
        <w:ind w:left="0"/>
        <w:jc w:val="both"/>
      </w:pPr>
      <w:r>
        <w:rPr>
          <w:rFonts w:ascii="Times New Roman"/>
          <w:b w:val="false"/>
          <w:i w:val="false"/>
          <w:color w:val="000000"/>
          <w:sz w:val="28"/>
        </w:rPr>
        <w:t>
      3) форму отчета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w:t>
      </w:r>
    </w:p>
    <w:bookmarkEnd w:id="61"/>
    <w:bookmarkStart w:name="z73" w:id="62"/>
    <w:p>
      <w:pPr>
        <w:spacing w:after="0"/>
        <w:ind w:left="0"/>
        <w:jc w:val="both"/>
      </w:pPr>
      <w:r>
        <w:rPr>
          <w:rFonts w:ascii="Times New Roman"/>
          <w:b w:val="false"/>
          <w:i w:val="false"/>
          <w:color w:val="000000"/>
          <w:sz w:val="28"/>
        </w:rPr>
        <w:t>
      4) форму отчета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и страховой холдинг является участником (акционером);</w:t>
      </w:r>
    </w:p>
    <w:bookmarkEnd w:id="62"/>
    <w:bookmarkStart w:name="z74" w:id="63"/>
    <w:p>
      <w:pPr>
        <w:spacing w:after="0"/>
        <w:ind w:left="0"/>
        <w:jc w:val="both"/>
      </w:pPr>
      <w:r>
        <w:rPr>
          <w:rFonts w:ascii="Times New Roman"/>
          <w:b w:val="false"/>
          <w:i w:val="false"/>
          <w:color w:val="000000"/>
          <w:sz w:val="28"/>
        </w:rPr>
        <w:t>
      5) форму отчета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p>
    <w:bookmarkEnd w:id="63"/>
    <w:bookmarkStart w:name="z75" w:id="64"/>
    <w:p>
      <w:pPr>
        <w:spacing w:after="0"/>
        <w:ind w:left="0"/>
        <w:jc w:val="both"/>
      </w:pPr>
      <w:r>
        <w:rPr>
          <w:rFonts w:ascii="Times New Roman"/>
          <w:b w:val="false"/>
          <w:i w:val="false"/>
          <w:color w:val="000000"/>
          <w:sz w:val="28"/>
        </w:rPr>
        <w:t>
      6) форму отчета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реестра связанных, в том числе аффилированных лиц;</w:t>
      </w:r>
    </w:p>
    <w:bookmarkEnd w:id="64"/>
    <w:bookmarkStart w:name="z76" w:id="65"/>
    <w:p>
      <w:pPr>
        <w:spacing w:after="0"/>
        <w:ind w:left="0"/>
        <w:jc w:val="both"/>
      </w:pPr>
      <w:r>
        <w:rPr>
          <w:rFonts w:ascii="Times New Roman"/>
          <w:b w:val="false"/>
          <w:i w:val="false"/>
          <w:color w:val="000000"/>
          <w:sz w:val="28"/>
        </w:rPr>
        <w:t>
      7) форму отчета о расшифровке рабочих таблиц по составлению консолидированной финансовой отчетности;</w:t>
      </w:r>
    </w:p>
    <w:bookmarkEnd w:id="65"/>
    <w:bookmarkStart w:name="z77" w:id="66"/>
    <w:p>
      <w:pPr>
        <w:spacing w:after="0"/>
        <w:ind w:left="0"/>
        <w:jc w:val="both"/>
      </w:pPr>
      <w:r>
        <w:rPr>
          <w:rFonts w:ascii="Times New Roman"/>
          <w:b w:val="false"/>
          <w:i w:val="false"/>
          <w:color w:val="000000"/>
          <w:sz w:val="28"/>
        </w:rPr>
        <w:t>
      8) форму консолидированной и неконсолидированной финансовой отчетности и пояснительную записку к ней;</w:t>
      </w:r>
    </w:p>
    <w:bookmarkEnd w:id="66"/>
    <w:bookmarkStart w:name="z78" w:id="67"/>
    <w:p>
      <w:pPr>
        <w:spacing w:after="0"/>
        <w:ind w:left="0"/>
        <w:jc w:val="both"/>
      </w:pPr>
      <w:r>
        <w:rPr>
          <w:rFonts w:ascii="Times New Roman"/>
          <w:b w:val="false"/>
          <w:i w:val="false"/>
          <w:color w:val="000000"/>
          <w:sz w:val="28"/>
        </w:rPr>
        <w:t>
      9) форму отчета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источников средств, используемых для приобретения акций;</w:t>
      </w:r>
    </w:p>
    <w:bookmarkEnd w:id="67"/>
    <w:bookmarkStart w:name="z79" w:id="68"/>
    <w:p>
      <w:pPr>
        <w:spacing w:after="0"/>
        <w:ind w:left="0"/>
        <w:jc w:val="both"/>
      </w:pPr>
      <w:r>
        <w:rPr>
          <w:rFonts w:ascii="Times New Roman"/>
          <w:b w:val="false"/>
          <w:i w:val="false"/>
          <w:color w:val="000000"/>
          <w:sz w:val="28"/>
        </w:rPr>
        <w:t>
      10) форму отчета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p>
    <w:bookmarkEnd w:id="68"/>
    <w:bookmarkStart w:name="z80" w:id="69"/>
    <w:p>
      <w:pPr>
        <w:spacing w:after="0"/>
        <w:ind w:left="0"/>
        <w:jc w:val="both"/>
      </w:pPr>
      <w:r>
        <w:rPr>
          <w:rFonts w:ascii="Times New Roman"/>
          <w:b w:val="false"/>
          <w:i w:val="false"/>
          <w:color w:val="000000"/>
          <w:sz w:val="28"/>
        </w:rPr>
        <w:t>
      11) форму отчета о внутригрупповых сделках страховой группы, заключенных в течение отчетного периода, а также действующих по состоянию на отчетную дату;</w:t>
      </w:r>
    </w:p>
    <w:bookmarkEnd w:id="69"/>
    <w:bookmarkStart w:name="z81" w:id="70"/>
    <w:p>
      <w:pPr>
        <w:spacing w:after="0"/>
        <w:ind w:left="0"/>
        <w:jc w:val="both"/>
      </w:pPr>
      <w:r>
        <w:rPr>
          <w:rFonts w:ascii="Times New Roman"/>
          <w:b w:val="false"/>
          <w:i w:val="false"/>
          <w:color w:val="000000"/>
          <w:sz w:val="28"/>
        </w:rPr>
        <w:t>
      12) форму отчета о правах требования, переданных дочерней организации, приобретающей сомнительные и безнадежные активы родительского банка;</w:t>
      </w:r>
    </w:p>
    <w:bookmarkEnd w:id="70"/>
    <w:bookmarkStart w:name="z82" w:id="71"/>
    <w:p>
      <w:pPr>
        <w:spacing w:after="0"/>
        <w:ind w:left="0"/>
        <w:jc w:val="both"/>
      </w:pPr>
      <w:r>
        <w:rPr>
          <w:rFonts w:ascii="Times New Roman"/>
          <w:b w:val="false"/>
          <w:i w:val="false"/>
          <w:color w:val="000000"/>
          <w:sz w:val="28"/>
        </w:rPr>
        <w:t>
      13) форму отчета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приобретенному имуществу;</w:t>
      </w:r>
    </w:p>
    <w:bookmarkEnd w:id="71"/>
    <w:bookmarkStart w:name="z83" w:id="72"/>
    <w:p>
      <w:pPr>
        <w:spacing w:after="0"/>
        <w:ind w:left="0"/>
        <w:jc w:val="both"/>
      </w:pPr>
      <w:r>
        <w:rPr>
          <w:rFonts w:ascii="Times New Roman"/>
          <w:b w:val="false"/>
          <w:i w:val="false"/>
          <w:color w:val="000000"/>
          <w:sz w:val="28"/>
        </w:rPr>
        <w:t>
      14) форму отчета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87" w:id="7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3"/>
    <w:bookmarkStart w:name="z88" w:id="7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4"/>
    <w:bookmarkStart w:name="z89" w:id="75"/>
    <w:p>
      <w:pPr>
        <w:spacing w:after="0"/>
        <w:ind w:left="0"/>
        <w:jc w:val="both"/>
      </w:pPr>
      <w:r>
        <w:rPr>
          <w:rFonts w:ascii="Times New Roman"/>
          <w:b w:val="false"/>
          <w:i w:val="false"/>
          <w:color w:val="000000"/>
          <w:sz w:val="28"/>
        </w:rPr>
        <w:t>
      Наименование административной формы: Отчет о правах требования, переданных дочерней организации, приобретающей сомнительные и безнадежные активы родительского банка</w:t>
      </w:r>
    </w:p>
    <w:bookmarkEnd w:id="75"/>
    <w:bookmarkStart w:name="z90" w:id="7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OUSA_01</w:t>
      </w:r>
    </w:p>
    <w:bookmarkEnd w:id="76"/>
    <w:bookmarkStart w:name="z91" w:id="77"/>
    <w:p>
      <w:pPr>
        <w:spacing w:after="0"/>
        <w:ind w:left="0"/>
        <w:jc w:val="both"/>
      </w:pPr>
      <w:r>
        <w:rPr>
          <w:rFonts w:ascii="Times New Roman"/>
          <w:b w:val="false"/>
          <w:i w:val="false"/>
          <w:color w:val="000000"/>
          <w:sz w:val="28"/>
        </w:rPr>
        <w:t>
      Периодичность: ежеквартальная</w:t>
      </w:r>
    </w:p>
    <w:bookmarkEnd w:id="77"/>
    <w:bookmarkStart w:name="z92" w:id="78"/>
    <w:p>
      <w:pPr>
        <w:spacing w:after="0"/>
        <w:ind w:left="0"/>
        <w:jc w:val="both"/>
      </w:pPr>
      <w:r>
        <w:rPr>
          <w:rFonts w:ascii="Times New Roman"/>
          <w:b w:val="false"/>
          <w:i w:val="false"/>
          <w:color w:val="000000"/>
          <w:sz w:val="28"/>
        </w:rPr>
        <w:t>
      Отчетный период: по состоянию на "___" "______________" 20__ года</w:t>
      </w:r>
    </w:p>
    <w:bookmarkEnd w:id="78"/>
    <w:bookmarkStart w:name="z93" w:id="7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имеющие дочернюю организацию, приобретающую сомнительные и безнадежные активы родительского банка</w:t>
      </w:r>
    </w:p>
    <w:bookmarkEnd w:id="79"/>
    <w:bookmarkStart w:name="z94" w:id="8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30 (тридцати) календарных дней, следующих за отчетным кварталом</w:t>
      </w:r>
    </w:p>
    <w:bookmarkEnd w:id="80"/>
    <w:bookmarkStart w:name="z95" w:id="81"/>
    <w:p>
      <w:pPr>
        <w:spacing w:after="0"/>
        <w:ind w:left="0"/>
        <w:jc w:val="both"/>
      </w:pPr>
      <w:r>
        <w:rPr>
          <w:rFonts w:ascii="Times New Roman"/>
          <w:b w:val="false"/>
          <w:i w:val="false"/>
          <w:color w:val="000000"/>
          <w:sz w:val="28"/>
        </w:rPr>
        <w:t>
      БИН: _______________________</w:t>
      </w:r>
    </w:p>
    <w:bookmarkEnd w:id="81"/>
    <w:bookmarkStart w:name="z96" w:id="82"/>
    <w:p>
      <w:pPr>
        <w:spacing w:after="0"/>
        <w:ind w:left="0"/>
        <w:jc w:val="both"/>
      </w:pPr>
      <w:r>
        <w:rPr>
          <w:rFonts w:ascii="Times New Roman"/>
          <w:b w:val="false"/>
          <w:i w:val="false"/>
          <w:color w:val="000000"/>
          <w:sz w:val="28"/>
        </w:rPr>
        <w:t>
      Метод сбора: в электронном виде</w:t>
      </w:r>
    </w:p>
    <w:bookmarkEnd w:id="82"/>
    <w:bookmarkStart w:name="z97" w:id="83"/>
    <w:p>
      <w:pPr>
        <w:spacing w:after="0"/>
        <w:ind w:left="0"/>
        <w:jc w:val="left"/>
      </w:pPr>
      <w:r>
        <w:rPr>
          <w:rFonts w:ascii="Times New Roman"/>
          <w:b/>
          <w:i w:val="false"/>
          <w:color w:val="000000"/>
        </w:rPr>
        <w:t xml:space="preserve"> Таблица 1. Отчет о субъекте кредитной истории по юридическим лицам и индивидуальным предпринимателям, осуществляющим деятельность в виде совместного предпринимательства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индивидуального предпринимателя, осуществляющего деятельность в виде совместного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индивидуального предпринимателя, осуществляющего деятельность в виде совместного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кредитором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84"/>
    <w:p>
      <w:pPr>
        <w:spacing w:after="0"/>
        <w:ind w:left="0"/>
        <w:jc w:val="left"/>
      </w:pPr>
      <w:r>
        <w:rPr>
          <w:rFonts w:ascii="Times New Roman"/>
          <w:b/>
          <w:i w:val="false"/>
          <w:color w:val="000000"/>
        </w:rPr>
        <w:t xml:space="preserve"> Таблица 2. Отчет о субъекте кредитной истории по физическим лицам, включая индивидуальных предпринимателей, осуществляющих деятельность в виде личного предпринимательства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кредитором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85"/>
    <w:p>
      <w:pPr>
        <w:spacing w:after="0"/>
        <w:ind w:left="0"/>
        <w:jc w:val="left"/>
      </w:pPr>
      <w:r>
        <w:rPr>
          <w:rFonts w:ascii="Times New Roman"/>
          <w:b/>
          <w:i w:val="false"/>
          <w:color w:val="000000"/>
        </w:rPr>
        <w:t xml:space="preserve"> Таблица 3. Отчет о договоре займа (условного обязательства)</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субъекте кредитной истории – стороне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(роль)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индивидуального предпринимателя, осуществляющего деятельность в виде личного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обслуживающий заем (условное обязательство)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займа (условного обязательства) по условиям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(условного обязательства)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ставка вознаграждения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ставки (фиксированная, плавающая)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плавающего индекса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фиксированной ставки в годовых процентах (фиксированный спрэд плавающей 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плавающий индекс в годовых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эффективная ставка вознаграждения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первоначальной ставки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ставки вознаграждения в достоверном годовом эффективном сопоставимом исчислении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отсутствия обеспечения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суммы займа (условного обязательства)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источника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суммы займа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передаче (продаже), принятии (покупке) права требования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передачи (продажи), принятия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(продажи), принятия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продажи (покупки)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86"/>
    <w:p>
      <w:pPr>
        <w:spacing w:after="0"/>
        <w:ind w:left="0"/>
        <w:jc w:val="left"/>
      </w:pPr>
      <w:r>
        <w:rPr>
          <w:rFonts w:ascii="Times New Roman"/>
          <w:b/>
          <w:i w:val="false"/>
          <w:color w:val="000000"/>
        </w:rPr>
        <w:t xml:space="preserve"> Таблица 4. Отчет об обеспечении</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прекращения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прекращения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залогодателе (гаранте, поручителе, страховщике):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(юридическое или физическое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данные залогодателя (гаранта, поручителя, страховщика):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Залоговая стоимость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учету принятого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(место регистрации)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объекта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оценки (переоценки)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87"/>
    <w:p>
      <w:pPr>
        <w:spacing w:after="0"/>
        <w:ind w:left="0"/>
        <w:jc w:val="left"/>
      </w:pPr>
      <w:r>
        <w:rPr>
          <w:rFonts w:ascii="Times New Roman"/>
          <w:b/>
          <w:i w:val="false"/>
          <w:color w:val="000000"/>
        </w:rPr>
        <w:t xml:space="preserve"> Таблица 5. Идентификация обеспеченных займов и условных обязательств</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Распределенная доля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займа (условного обязательства) залогом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залога, приходящаяся на покрытие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88"/>
    <w:p>
      <w:pPr>
        <w:spacing w:after="0"/>
        <w:ind w:left="0"/>
        <w:jc w:val="left"/>
      </w:pPr>
      <w:r>
        <w:rPr>
          <w:rFonts w:ascii="Times New Roman"/>
          <w:b/>
          <w:i w:val="false"/>
          <w:color w:val="000000"/>
        </w:rPr>
        <w:t xml:space="preserve"> Таблица 6. Отчет об обслуживании займа (условного обязательства)</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текущих требованиях и движении средств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отчетный период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штрафов и 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выдачи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в отчетном периоде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с баланса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начисленного вознаграждения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списанного с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условного обязательства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начисленной неустойки (штрафа, пени)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списанной с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положительной (отрицательной) корректировке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дисконту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вынесения на счет просроченной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просроченной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реструктуризации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реструктуризации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89"/>
    <w:p>
      <w:pPr>
        <w:spacing w:after="0"/>
        <w:ind w:left="0"/>
        <w:jc w:val="left"/>
      </w:pPr>
      <w:r>
        <w:rPr>
          <w:rFonts w:ascii="Times New Roman"/>
          <w:b/>
          <w:i w:val="false"/>
          <w:color w:val="000000"/>
        </w:rPr>
        <w:t xml:space="preserve"> Таблица 7. Отчет о провизиях и оценке рисков</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провизиях и оценке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сформированная сумма резервов (провизий)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резервам (провизиям), сформированным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90"/>
    <w:p>
      <w:pPr>
        <w:spacing w:after="0"/>
        <w:ind w:left="0"/>
        <w:jc w:val="left"/>
      </w:pPr>
      <w:r>
        <w:rPr>
          <w:rFonts w:ascii="Times New Roman"/>
          <w:b/>
          <w:i w:val="false"/>
          <w:color w:val="000000"/>
        </w:rPr>
        <w:t xml:space="preserve"> Таблица 8. Отчет о поступлениях и платежах дочерней организации, приобретающей сомнительные и безнадежные активы родительского банка</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 на улучшение актива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приток денежных средств в дочерней организацию, приобретающую сомнительные и безнадежные активы родительского банка, от управления активом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платежей, произведенных в пользу родительского банка в счет погашения задолженности по данному активу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Фактические мероприятия, проведенные дочерней организацией, приобретающей сомнительные и безнадежные активы родительского банка, в отношении актива, в том числе связанных с их улучшением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управления активами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 w:id="91"/>
      <w:r>
        <w:rPr>
          <w:rFonts w:ascii="Times New Roman"/>
          <w:b w:val="false"/>
          <w:i w:val="false"/>
          <w:color w:val="000000"/>
          <w:sz w:val="28"/>
        </w:rPr>
        <w:t>
      Наименование __________________________________________________</w:t>
      </w:r>
    </w:p>
    <w:bookmarkEnd w:id="91"/>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06" w:id="9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правах требования, переданных дочерней организации, приобретающей сомнительные и безнадежные активы родительского банка".</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правах требования,</w:t>
            </w:r>
            <w:r>
              <w:br/>
            </w:r>
            <w:r>
              <w:rPr>
                <w:rFonts w:ascii="Times New Roman"/>
                <w:b w:val="false"/>
                <w:i w:val="false"/>
                <w:color w:val="000000"/>
                <w:sz w:val="20"/>
              </w:rPr>
              <w:t>переданных дочерней</w:t>
            </w:r>
            <w:r>
              <w:br/>
            </w:r>
            <w:r>
              <w:rPr>
                <w:rFonts w:ascii="Times New Roman"/>
                <w:b w:val="false"/>
                <w:i w:val="false"/>
                <w:color w:val="000000"/>
                <w:sz w:val="20"/>
              </w:rPr>
              <w:t>организации, приобретающей</w:t>
            </w:r>
            <w:r>
              <w:br/>
            </w:r>
            <w:r>
              <w:rPr>
                <w:rFonts w:ascii="Times New Roman"/>
                <w:b w:val="false"/>
                <w:i w:val="false"/>
                <w:color w:val="000000"/>
                <w:sz w:val="20"/>
              </w:rPr>
              <w:t>сомнительные и безнадежные</w:t>
            </w:r>
            <w:r>
              <w:br/>
            </w:r>
            <w:r>
              <w:rPr>
                <w:rFonts w:ascii="Times New Roman"/>
                <w:b w:val="false"/>
                <w:i w:val="false"/>
                <w:color w:val="000000"/>
                <w:sz w:val="20"/>
              </w:rPr>
              <w:t>активы родительского банка"</w:t>
            </w:r>
          </w:p>
        </w:tc>
      </w:tr>
    </w:tbl>
    <w:bookmarkStart w:name="z108" w:id="9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3"/>
    <w:bookmarkStart w:name="z109" w:id="94"/>
    <w:p>
      <w:pPr>
        <w:spacing w:after="0"/>
        <w:ind w:left="0"/>
        <w:jc w:val="left"/>
      </w:pPr>
      <w:r>
        <w:rPr>
          <w:rFonts w:ascii="Times New Roman"/>
          <w:b/>
          <w:i w:val="false"/>
          <w:color w:val="000000"/>
        </w:rPr>
        <w:t xml:space="preserve"> Отчет о правах требования, переданных дочерней организации, приобретающей сомнительные и безнадежные активы родительского банка</w:t>
      </w:r>
      <w:r>
        <w:br/>
      </w:r>
      <w:r>
        <w:rPr>
          <w:rFonts w:ascii="Times New Roman"/>
          <w:b/>
          <w:i w:val="false"/>
          <w:color w:val="000000"/>
        </w:rPr>
        <w:t>(индекс – OUSA_01, периодичность – ежеквартальная)</w:t>
      </w:r>
    </w:p>
    <w:bookmarkEnd w:id="94"/>
    <w:bookmarkStart w:name="z110" w:id="95"/>
    <w:p>
      <w:pPr>
        <w:spacing w:after="0"/>
        <w:ind w:left="0"/>
        <w:jc w:val="left"/>
      </w:pPr>
      <w:r>
        <w:rPr>
          <w:rFonts w:ascii="Times New Roman"/>
          <w:b/>
          <w:i w:val="false"/>
          <w:color w:val="000000"/>
        </w:rPr>
        <w:t xml:space="preserve"> Глава 1. Общие положения</w:t>
      </w:r>
    </w:p>
    <w:bookmarkEnd w:id="95"/>
    <w:bookmarkStart w:name="z111" w:id="9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правах требования, переданных дочерней организации, приобретающей сомнительные и безнадежные активы родительского банка" (далее – Форма).</w:t>
      </w:r>
    </w:p>
    <w:bookmarkEnd w:id="96"/>
    <w:bookmarkStart w:name="z112" w:id="97"/>
    <w:p>
      <w:pPr>
        <w:spacing w:after="0"/>
        <w:ind w:left="0"/>
        <w:jc w:val="both"/>
      </w:pPr>
      <w:r>
        <w:rPr>
          <w:rFonts w:ascii="Times New Roman"/>
          <w:b w:val="false"/>
          <w:i w:val="false"/>
          <w:color w:val="000000"/>
          <w:sz w:val="28"/>
        </w:rPr>
        <w:t>
      2. Форма составляется ежеквартально банком второго уровня, имеющим дочернюю организацию, приобретающую сомнительные и безнадежные активы родительского банка.</w:t>
      </w:r>
    </w:p>
    <w:bookmarkEnd w:id="97"/>
    <w:bookmarkStart w:name="z113" w:id="98"/>
    <w:p>
      <w:pPr>
        <w:spacing w:after="0"/>
        <w:ind w:left="0"/>
        <w:jc w:val="both"/>
      </w:pPr>
      <w:r>
        <w:rPr>
          <w:rFonts w:ascii="Times New Roman"/>
          <w:b w:val="false"/>
          <w:i w:val="false"/>
          <w:color w:val="000000"/>
          <w:sz w:val="28"/>
        </w:rPr>
        <w:t>
      3. При заполнении Формы коды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Даты в Форме указываются в формате: "ДД.ММ.ГГГГ", где "ДД" - день, "ММ" - месяц, "ГГГГ" - год.</w:t>
      </w:r>
    </w:p>
    <w:bookmarkEnd w:id="98"/>
    <w:bookmarkStart w:name="z114" w:id="99"/>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99"/>
    <w:bookmarkStart w:name="z115" w:id="100"/>
    <w:p>
      <w:pPr>
        <w:spacing w:after="0"/>
        <w:ind w:left="0"/>
        <w:jc w:val="both"/>
      </w:pPr>
      <w:r>
        <w:rPr>
          <w:rFonts w:ascii="Times New Roman"/>
          <w:b w:val="false"/>
          <w:i w:val="false"/>
          <w:color w:val="000000"/>
          <w:sz w:val="28"/>
        </w:rPr>
        <w:t>
      Коэффициенты и проценты отражаются в формате числа с указанием не более четырех знаков после запятой.</w:t>
      </w:r>
    </w:p>
    <w:bookmarkEnd w:id="100"/>
    <w:bookmarkStart w:name="z116" w:id="101"/>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w:t>
      </w:r>
    </w:p>
    <w:bookmarkEnd w:id="101"/>
    <w:bookmarkStart w:name="z117" w:id="102"/>
    <w:p>
      <w:pPr>
        <w:spacing w:after="0"/>
        <w:ind w:left="0"/>
        <w:jc w:val="left"/>
      </w:pPr>
      <w:r>
        <w:rPr>
          <w:rFonts w:ascii="Times New Roman"/>
          <w:b/>
          <w:i w:val="false"/>
          <w:color w:val="000000"/>
        </w:rPr>
        <w:t xml:space="preserve"> Глава 2. Пояснение по заполнению Формы</w:t>
      </w:r>
    </w:p>
    <w:bookmarkEnd w:id="102"/>
    <w:bookmarkStart w:name="z118" w:id="103"/>
    <w:p>
      <w:pPr>
        <w:spacing w:after="0"/>
        <w:ind w:left="0"/>
        <w:jc w:val="both"/>
      </w:pPr>
      <w:r>
        <w:rPr>
          <w:rFonts w:ascii="Times New Roman"/>
          <w:b w:val="false"/>
          <w:i w:val="false"/>
          <w:color w:val="000000"/>
          <w:sz w:val="28"/>
        </w:rPr>
        <w:t>
      6. При заполнении Таблиц 1 и 2 используются справочники: "Организационно-правовые формы", "Формы собственности", "Виды идентификатора", "Секторы экономики", "Пол", размещенные в информационной системе Национального Банка Республики Казахстан.</w:t>
      </w:r>
    </w:p>
    <w:bookmarkEnd w:id="103"/>
    <w:bookmarkStart w:name="z119" w:id="104"/>
    <w:p>
      <w:pPr>
        <w:spacing w:after="0"/>
        <w:ind w:left="0"/>
        <w:jc w:val="both"/>
      </w:pPr>
      <w:r>
        <w:rPr>
          <w:rFonts w:ascii="Times New Roman"/>
          <w:b w:val="false"/>
          <w:i w:val="false"/>
          <w:color w:val="000000"/>
          <w:sz w:val="28"/>
        </w:rPr>
        <w:t>
      7. В Таблицах 1 и 2 указываются сведения о субъектах кредитной истории, являющихся юридическими и физическими лицами - резидентами и нерезидентами Республики Казахстан, в том числе индивидуальными предпринимателями.</w:t>
      </w:r>
    </w:p>
    <w:bookmarkEnd w:id="104"/>
    <w:bookmarkStart w:name="z120" w:id="105"/>
    <w:p>
      <w:pPr>
        <w:spacing w:after="0"/>
        <w:ind w:left="0"/>
        <w:jc w:val="both"/>
      </w:pPr>
      <w:r>
        <w:rPr>
          <w:rFonts w:ascii="Times New Roman"/>
          <w:b w:val="false"/>
          <w:i w:val="false"/>
          <w:color w:val="000000"/>
          <w:sz w:val="28"/>
        </w:rPr>
        <w:t>
      По операциям обратное репо, заключенным автоматическим способом, в качестве субъекта кредитной истории указывается фондовая биржа, на которой заключены данные сделки.</w:t>
      </w:r>
    </w:p>
    <w:bookmarkEnd w:id="105"/>
    <w:bookmarkStart w:name="z121" w:id="106"/>
    <w:p>
      <w:pPr>
        <w:spacing w:after="0"/>
        <w:ind w:left="0"/>
        <w:jc w:val="both"/>
      </w:pPr>
      <w:r>
        <w:rPr>
          <w:rFonts w:ascii="Times New Roman"/>
          <w:b w:val="false"/>
          <w:i w:val="false"/>
          <w:color w:val="000000"/>
          <w:sz w:val="28"/>
        </w:rPr>
        <w:t>
      Указание кредитором себя в качестве субъекта кредитной истории допускается только в случае, когда кредитор выступает в роли принципала.</w:t>
      </w:r>
    </w:p>
    <w:bookmarkEnd w:id="106"/>
    <w:bookmarkStart w:name="z122" w:id="107"/>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107"/>
    <w:bookmarkStart w:name="z123" w:id="108"/>
    <w:p>
      <w:pPr>
        <w:spacing w:after="0"/>
        <w:ind w:left="0"/>
        <w:jc w:val="both"/>
      </w:pPr>
      <w:r>
        <w:rPr>
          <w:rFonts w:ascii="Times New Roman"/>
          <w:b w:val="false"/>
          <w:i w:val="false"/>
          <w:color w:val="000000"/>
          <w:sz w:val="28"/>
        </w:rPr>
        <w:t>
      8. В строках 3, 4, 5.1, 6 и 7 Таблицы 1 и строках 3, 4.1 и 5 Таблицы 2 значения выбираются из справочника.</w:t>
      </w:r>
    </w:p>
    <w:bookmarkEnd w:id="108"/>
    <w:bookmarkStart w:name="z124" w:id="109"/>
    <w:p>
      <w:pPr>
        <w:spacing w:after="0"/>
        <w:ind w:left="0"/>
        <w:jc w:val="both"/>
      </w:pPr>
      <w:r>
        <w:rPr>
          <w:rFonts w:ascii="Times New Roman"/>
          <w:b w:val="false"/>
          <w:i w:val="false"/>
          <w:color w:val="000000"/>
          <w:sz w:val="28"/>
        </w:rPr>
        <w:t>
      9. В строке 5 Таблицы 1 и строке 4 Таблицы 2 по одному субъекту кредитной истории допускается одновременное отражение нескольких актуальных значений.</w:t>
      </w:r>
    </w:p>
    <w:bookmarkEnd w:id="109"/>
    <w:bookmarkStart w:name="z125" w:id="110"/>
    <w:p>
      <w:pPr>
        <w:spacing w:after="0"/>
        <w:ind w:left="0"/>
        <w:jc w:val="both"/>
      </w:pPr>
      <w:r>
        <w:rPr>
          <w:rFonts w:ascii="Times New Roman"/>
          <w:b w:val="false"/>
          <w:i w:val="false"/>
          <w:color w:val="000000"/>
          <w:sz w:val="28"/>
        </w:rPr>
        <w:t>
      В строках 1, 2, 3, 4, 6, 7 и 8 Таблицы 1 и строках 1, 2, 3, 5 и 6 Таблицы 2 одному субъекту кредитной истории соответствует не более одного актуального значения.</w:t>
      </w:r>
    </w:p>
    <w:bookmarkEnd w:id="110"/>
    <w:bookmarkStart w:name="z126" w:id="111"/>
    <w:p>
      <w:pPr>
        <w:spacing w:after="0"/>
        <w:ind w:left="0"/>
        <w:jc w:val="both"/>
      </w:pPr>
      <w:r>
        <w:rPr>
          <w:rFonts w:ascii="Times New Roman"/>
          <w:b w:val="false"/>
          <w:i w:val="false"/>
          <w:color w:val="000000"/>
          <w:sz w:val="28"/>
        </w:rPr>
        <w:t>
      10. В строке 2 Таблицы 1 если субъект кредитной истории является индивидуальным предпринимателем, осуществляющим индивидуальное предпринимательство в виде совместного предпринимательства, указывается значение "1", в ином случае указывается "0" или показатель не передается.</w:t>
      </w:r>
    </w:p>
    <w:bookmarkEnd w:id="111"/>
    <w:bookmarkStart w:name="z127" w:id="112"/>
    <w:p>
      <w:pPr>
        <w:spacing w:after="0"/>
        <w:ind w:left="0"/>
        <w:jc w:val="both"/>
      </w:pPr>
      <w:r>
        <w:rPr>
          <w:rFonts w:ascii="Times New Roman"/>
          <w:b w:val="false"/>
          <w:i w:val="false"/>
          <w:color w:val="000000"/>
          <w:sz w:val="28"/>
        </w:rPr>
        <w:t>
      11. В строке 3 Таблицы 1 показатель является обязательным для заполнения для всех субъектов кредитной истории, зарегистрированных на территории Республики Казахстан.</w:t>
      </w:r>
    </w:p>
    <w:bookmarkEnd w:id="112"/>
    <w:bookmarkStart w:name="z128" w:id="113"/>
    <w:p>
      <w:pPr>
        <w:spacing w:after="0"/>
        <w:ind w:left="0"/>
        <w:jc w:val="both"/>
      </w:pPr>
      <w:r>
        <w:rPr>
          <w:rFonts w:ascii="Times New Roman"/>
          <w:b w:val="false"/>
          <w:i w:val="false"/>
          <w:color w:val="000000"/>
          <w:sz w:val="28"/>
        </w:rPr>
        <w:t>
      12. В строках 2 и 3 Таблицы 2 показатели являются обязательными для заполнения для всех субъектов кредитной истории, являющихся нерезидентами Республики Казахстан.</w:t>
      </w:r>
    </w:p>
    <w:bookmarkEnd w:id="113"/>
    <w:bookmarkStart w:name="z129" w:id="114"/>
    <w:p>
      <w:pPr>
        <w:spacing w:after="0"/>
        <w:ind w:left="0"/>
        <w:jc w:val="both"/>
      </w:pPr>
      <w:r>
        <w:rPr>
          <w:rFonts w:ascii="Times New Roman"/>
          <w:b w:val="false"/>
          <w:i w:val="false"/>
          <w:color w:val="000000"/>
          <w:sz w:val="28"/>
        </w:rPr>
        <w:t>
      13. В строке 4 Таблицы 1 показатель является обязательным для заполнения для всех субъектов кредитной истории, являющихся юридическими лицами.</w:t>
      </w:r>
    </w:p>
    <w:bookmarkEnd w:id="114"/>
    <w:bookmarkStart w:name="z130" w:id="115"/>
    <w:p>
      <w:pPr>
        <w:spacing w:after="0"/>
        <w:ind w:left="0"/>
        <w:jc w:val="both"/>
      </w:pPr>
      <w:r>
        <w:rPr>
          <w:rFonts w:ascii="Times New Roman"/>
          <w:b w:val="false"/>
          <w:i w:val="false"/>
          <w:color w:val="000000"/>
          <w:sz w:val="28"/>
        </w:rPr>
        <w:t>
      14. В строке 5 Таблицы 1 и строке 4 Таблицы 2 по одному субъекту кредитной истории допускается указание только одного актуального идентификатора одного вида. Идентификатор каждого из видов является уникальным для субъекта кредитной истории.</w:t>
      </w:r>
    </w:p>
    <w:bookmarkEnd w:id="115"/>
    <w:bookmarkStart w:name="z131" w:id="116"/>
    <w:p>
      <w:pPr>
        <w:spacing w:after="0"/>
        <w:ind w:left="0"/>
        <w:jc w:val="both"/>
      </w:pPr>
      <w:r>
        <w:rPr>
          <w:rFonts w:ascii="Times New Roman"/>
          <w:b w:val="false"/>
          <w:i w:val="false"/>
          <w:color w:val="000000"/>
          <w:sz w:val="28"/>
        </w:rPr>
        <w:t>
      При заполнении показателей идентификатора в строке 5 Таблицы 1 и в строке 4 Таблицы 2 для всех субъектов кредитной истории в обязательном порядке указывается:</w:t>
      </w:r>
    </w:p>
    <w:bookmarkEnd w:id="116"/>
    <w:bookmarkStart w:name="z132" w:id="117"/>
    <w:p>
      <w:pPr>
        <w:spacing w:after="0"/>
        <w:ind w:left="0"/>
        <w:jc w:val="both"/>
      </w:pPr>
      <w:r>
        <w:rPr>
          <w:rFonts w:ascii="Times New Roman"/>
          <w:b w:val="false"/>
          <w:i w:val="false"/>
          <w:color w:val="000000"/>
          <w:sz w:val="28"/>
        </w:rPr>
        <w:t>
      по резидентам Республики Казахстан - индивидуальный идентификационный номер (для физического лица, в том числе индивидуального предпринимателя, осуществляющего деятельность в виде личного предпринимательства) или бизнес-идентификационный номер (для юридического лица и индивидуального предпринимателя, осуществляющего деятельность в виде совместного предпринимательства);</w:t>
      </w:r>
    </w:p>
    <w:bookmarkEnd w:id="117"/>
    <w:bookmarkStart w:name="z133" w:id="118"/>
    <w:p>
      <w:pPr>
        <w:spacing w:after="0"/>
        <w:ind w:left="0"/>
        <w:jc w:val="both"/>
      </w:pPr>
      <w:r>
        <w:rPr>
          <w:rFonts w:ascii="Times New Roman"/>
          <w:b w:val="false"/>
          <w:i w:val="false"/>
          <w:color w:val="000000"/>
          <w:sz w:val="28"/>
        </w:rPr>
        <w:t>
      по нерезидентам Республики Казахстан - альтернативный идентификационный номер.</w:t>
      </w:r>
    </w:p>
    <w:bookmarkEnd w:id="118"/>
    <w:bookmarkStart w:name="z134" w:id="119"/>
    <w:p>
      <w:pPr>
        <w:spacing w:after="0"/>
        <w:ind w:left="0"/>
        <w:jc w:val="both"/>
      </w:pPr>
      <w:r>
        <w:rPr>
          <w:rFonts w:ascii="Times New Roman"/>
          <w:b w:val="false"/>
          <w:i w:val="false"/>
          <w:color w:val="000000"/>
          <w:sz w:val="28"/>
        </w:rPr>
        <w:t>
      По субъектам кредитной истории, являющимся резидентами Республики Казахстан, договор займа (условного обязательства) с которыми заключен до 1 января 2013 года, в обязательном порядке указывается регистрационный номер налогоплательщика.</w:t>
      </w:r>
    </w:p>
    <w:bookmarkEnd w:id="119"/>
    <w:bookmarkStart w:name="z135" w:id="120"/>
    <w:p>
      <w:pPr>
        <w:spacing w:after="0"/>
        <w:ind w:left="0"/>
        <w:jc w:val="both"/>
      </w:pPr>
      <w:r>
        <w:rPr>
          <w:rFonts w:ascii="Times New Roman"/>
          <w:b w:val="false"/>
          <w:i w:val="false"/>
          <w:color w:val="000000"/>
          <w:sz w:val="28"/>
        </w:rPr>
        <w:t>
      При изменении признака резидентства субъекта кредитной истории в целях сохранения исторической взаимосвязи идентификаторов по нему наряду с индивидуальным идентификационным номером или бизнес-идентификационным номером указывается альтернативный идентификационный номер.</w:t>
      </w:r>
    </w:p>
    <w:bookmarkEnd w:id="120"/>
    <w:bookmarkStart w:name="z136" w:id="121"/>
    <w:p>
      <w:pPr>
        <w:spacing w:after="0"/>
        <w:ind w:left="0"/>
        <w:jc w:val="both"/>
      </w:pPr>
      <w:r>
        <w:rPr>
          <w:rFonts w:ascii="Times New Roman"/>
          <w:b w:val="false"/>
          <w:i w:val="false"/>
          <w:color w:val="000000"/>
          <w:sz w:val="28"/>
        </w:rPr>
        <w:t>
      15. В строке 8 Таблицы 1 и строке 6 Таблицы 2 указывается значение:</w:t>
      </w:r>
    </w:p>
    <w:bookmarkEnd w:id="121"/>
    <w:bookmarkStart w:name="z137" w:id="122"/>
    <w:p>
      <w:pPr>
        <w:spacing w:after="0"/>
        <w:ind w:left="0"/>
        <w:jc w:val="both"/>
      </w:pPr>
      <w:r>
        <w:rPr>
          <w:rFonts w:ascii="Times New Roman"/>
          <w:b w:val="false"/>
          <w:i w:val="false"/>
          <w:color w:val="000000"/>
          <w:sz w:val="28"/>
        </w:rPr>
        <w:t>
      "1" - если субъект кредитной истории относится к лицам, связанным с кредитором особыми отношениями;</w:t>
      </w:r>
    </w:p>
    <w:bookmarkEnd w:id="122"/>
    <w:bookmarkStart w:name="z138" w:id="123"/>
    <w:p>
      <w:pPr>
        <w:spacing w:after="0"/>
        <w:ind w:left="0"/>
        <w:jc w:val="both"/>
      </w:pPr>
      <w:r>
        <w:rPr>
          <w:rFonts w:ascii="Times New Roman"/>
          <w:b w:val="false"/>
          <w:i w:val="false"/>
          <w:color w:val="000000"/>
          <w:sz w:val="28"/>
        </w:rPr>
        <w:t>
      "0" - если не является субъектом кредитной истории, указанным в абзаце втором настоящего пункта.</w:t>
      </w:r>
    </w:p>
    <w:bookmarkEnd w:id="123"/>
    <w:bookmarkStart w:name="z139" w:id="124"/>
    <w:p>
      <w:pPr>
        <w:spacing w:after="0"/>
        <w:ind w:left="0"/>
        <w:jc w:val="both"/>
      </w:pPr>
      <w:r>
        <w:rPr>
          <w:rFonts w:ascii="Times New Roman"/>
          <w:b w:val="false"/>
          <w:i w:val="false"/>
          <w:color w:val="000000"/>
          <w:sz w:val="28"/>
        </w:rPr>
        <w:t>
      16. В строке 9 Таблицы 1 и строке 7 Таблицы 2 отражается дата, по состоянию на которую учтены сведения о субъекте кредитной истории.</w:t>
      </w:r>
    </w:p>
    <w:bookmarkEnd w:id="124"/>
    <w:bookmarkStart w:name="z140" w:id="125"/>
    <w:p>
      <w:pPr>
        <w:spacing w:after="0"/>
        <w:ind w:left="0"/>
        <w:jc w:val="both"/>
      </w:pPr>
      <w:r>
        <w:rPr>
          <w:rFonts w:ascii="Times New Roman"/>
          <w:b w:val="false"/>
          <w:i w:val="false"/>
          <w:color w:val="000000"/>
          <w:sz w:val="28"/>
        </w:rPr>
        <w:t>
      17. При заполнении Формы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125"/>
    <w:bookmarkStart w:name="z141" w:id="126"/>
    <w:p>
      <w:pPr>
        <w:spacing w:after="0"/>
        <w:ind w:left="0"/>
        <w:jc w:val="both"/>
      </w:pPr>
      <w:r>
        <w:rPr>
          <w:rFonts w:ascii="Times New Roman"/>
          <w:b w:val="false"/>
          <w:i w:val="false"/>
          <w:color w:val="000000"/>
          <w:sz w:val="28"/>
        </w:rPr>
        <w:t>
      виды (роли) субъекта кредитной истории;</w:t>
      </w:r>
    </w:p>
    <w:bookmarkEnd w:id="126"/>
    <w:bookmarkStart w:name="z142" w:id="127"/>
    <w:p>
      <w:pPr>
        <w:spacing w:after="0"/>
        <w:ind w:left="0"/>
        <w:jc w:val="both"/>
      </w:pPr>
      <w:r>
        <w:rPr>
          <w:rFonts w:ascii="Times New Roman"/>
          <w:b w:val="false"/>
          <w:i w:val="false"/>
          <w:color w:val="000000"/>
          <w:sz w:val="28"/>
        </w:rPr>
        <w:t>
      виды идентификатора;</w:t>
      </w:r>
    </w:p>
    <w:bookmarkEnd w:id="127"/>
    <w:bookmarkStart w:name="z143" w:id="128"/>
    <w:p>
      <w:pPr>
        <w:spacing w:after="0"/>
        <w:ind w:left="0"/>
        <w:jc w:val="both"/>
      </w:pPr>
      <w:r>
        <w:rPr>
          <w:rFonts w:ascii="Times New Roman"/>
          <w:b w:val="false"/>
          <w:i w:val="false"/>
          <w:color w:val="000000"/>
          <w:sz w:val="28"/>
        </w:rPr>
        <w:t>
      виды займа, условного обязательства;</w:t>
      </w:r>
    </w:p>
    <w:bookmarkEnd w:id="128"/>
    <w:bookmarkStart w:name="z144" w:id="129"/>
    <w:p>
      <w:pPr>
        <w:spacing w:after="0"/>
        <w:ind w:left="0"/>
        <w:jc w:val="both"/>
      </w:pPr>
      <w:r>
        <w:rPr>
          <w:rFonts w:ascii="Times New Roman"/>
          <w:b w:val="false"/>
          <w:i w:val="false"/>
          <w:color w:val="000000"/>
          <w:sz w:val="28"/>
        </w:rPr>
        <w:t>
      филиалы;</w:t>
      </w:r>
    </w:p>
    <w:bookmarkEnd w:id="129"/>
    <w:bookmarkStart w:name="z145" w:id="130"/>
    <w:p>
      <w:pPr>
        <w:spacing w:after="0"/>
        <w:ind w:left="0"/>
        <w:jc w:val="both"/>
      </w:pPr>
      <w:r>
        <w:rPr>
          <w:rFonts w:ascii="Times New Roman"/>
          <w:b w:val="false"/>
          <w:i w:val="false"/>
          <w:color w:val="000000"/>
          <w:sz w:val="28"/>
        </w:rPr>
        <w:t>
      виды валюты;</w:t>
      </w:r>
    </w:p>
    <w:bookmarkEnd w:id="130"/>
    <w:bookmarkStart w:name="z146" w:id="131"/>
    <w:p>
      <w:pPr>
        <w:spacing w:after="0"/>
        <w:ind w:left="0"/>
        <w:jc w:val="both"/>
      </w:pPr>
      <w:r>
        <w:rPr>
          <w:rFonts w:ascii="Times New Roman"/>
          <w:b w:val="false"/>
          <w:i w:val="false"/>
          <w:color w:val="000000"/>
          <w:sz w:val="28"/>
        </w:rPr>
        <w:t>
      виды ставок;</w:t>
      </w:r>
    </w:p>
    <w:bookmarkEnd w:id="131"/>
    <w:bookmarkStart w:name="z147" w:id="132"/>
    <w:p>
      <w:pPr>
        <w:spacing w:after="0"/>
        <w:ind w:left="0"/>
        <w:jc w:val="both"/>
      </w:pPr>
      <w:r>
        <w:rPr>
          <w:rFonts w:ascii="Times New Roman"/>
          <w:b w:val="false"/>
          <w:i w:val="false"/>
          <w:color w:val="000000"/>
          <w:sz w:val="28"/>
        </w:rPr>
        <w:t>
      плавающие индексы;</w:t>
      </w:r>
    </w:p>
    <w:bookmarkEnd w:id="132"/>
    <w:bookmarkStart w:name="z148" w:id="133"/>
    <w:p>
      <w:pPr>
        <w:spacing w:after="0"/>
        <w:ind w:left="0"/>
        <w:jc w:val="both"/>
      </w:pPr>
      <w:r>
        <w:rPr>
          <w:rFonts w:ascii="Times New Roman"/>
          <w:b w:val="false"/>
          <w:i w:val="false"/>
          <w:color w:val="000000"/>
          <w:sz w:val="28"/>
        </w:rPr>
        <w:t>
      цели кредитования;</w:t>
      </w:r>
    </w:p>
    <w:bookmarkEnd w:id="133"/>
    <w:bookmarkStart w:name="z149" w:id="134"/>
    <w:p>
      <w:pPr>
        <w:spacing w:after="0"/>
        <w:ind w:left="0"/>
        <w:jc w:val="both"/>
      </w:pPr>
      <w:r>
        <w:rPr>
          <w:rFonts w:ascii="Times New Roman"/>
          <w:b w:val="false"/>
          <w:i w:val="false"/>
          <w:color w:val="000000"/>
          <w:sz w:val="28"/>
        </w:rPr>
        <w:t>
      объекты кредитования;</w:t>
      </w:r>
    </w:p>
    <w:bookmarkEnd w:id="134"/>
    <w:bookmarkStart w:name="z150" w:id="135"/>
    <w:p>
      <w:pPr>
        <w:spacing w:after="0"/>
        <w:ind w:left="0"/>
        <w:jc w:val="both"/>
      </w:pPr>
      <w:r>
        <w:rPr>
          <w:rFonts w:ascii="Times New Roman"/>
          <w:b w:val="false"/>
          <w:i w:val="false"/>
          <w:color w:val="000000"/>
          <w:sz w:val="28"/>
        </w:rPr>
        <w:t>
      источники финансирования;</w:t>
      </w:r>
    </w:p>
    <w:bookmarkEnd w:id="135"/>
    <w:bookmarkStart w:name="z151" w:id="136"/>
    <w:p>
      <w:pPr>
        <w:spacing w:after="0"/>
        <w:ind w:left="0"/>
        <w:jc w:val="both"/>
      </w:pPr>
      <w:r>
        <w:rPr>
          <w:rFonts w:ascii="Times New Roman"/>
          <w:b w:val="false"/>
          <w:i w:val="false"/>
          <w:color w:val="000000"/>
          <w:sz w:val="28"/>
        </w:rPr>
        <w:t>
      признаки передачи (продажи), принятия (покупки);</w:t>
      </w:r>
    </w:p>
    <w:bookmarkEnd w:id="136"/>
    <w:bookmarkStart w:name="z152" w:id="137"/>
    <w:p>
      <w:pPr>
        <w:spacing w:after="0"/>
        <w:ind w:left="0"/>
        <w:jc w:val="both"/>
      </w:pPr>
      <w:r>
        <w:rPr>
          <w:rFonts w:ascii="Times New Roman"/>
          <w:b w:val="false"/>
          <w:i w:val="false"/>
          <w:color w:val="000000"/>
          <w:sz w:val="28"/>
        </w:rPr>
        <w:t>
      типы организаций, которым переданы (проданы) (от которых приняты (куплены)) права требования.</w:t>
      </w:r>
    </w:p>
    <w:bookmarkEnd w:id="137"/>
    <w:bookmarkStart w:name="z153" w:id="138"/>
    <w:p>
      <w:pPr>
        <w:spacing w:after="0"/>
        <w:ind w:left="0"/>
        <w:jc w:val="both"/>
      </w:pPr>
      <w:r>
        <w:rPr>
          <w:rFonts w:ascii="Times New Roman"/>
          <w:b w:val="false"/>
          <w:i w:val="false"/>
          <w:color w:val="000000"/>
          <w:sz w:val="28"/>
        </w:rPr>
        <w:t>
      18. В Таблице 3 передаются сведения обо всех взаимоотношениях кредитора с субъектом кредитной истории, сложившихся в силу договора, заключенного между субъектом кредитной истории и кредитором, и иных отношений в соответствии с законодательством Республики Казахстан.</w:t>
      </w:r>
    </w:p>
    <w:bookmarkEnd w:id="138"/>
    <w:bookmarkStart w:name="z154" w:id="139"/>
    <w:p>
      <w:pPr>
        <w:spacing w:after="0"/>
        <w:ind w:left="0"/>
        <w:jc w:val="both"/>
      </w:pPr>
      <w:r>
        <w:rPr>
          <w:rFonts w:ascii="Times New Roman"/>
          <w:b w:val="false"/>
          <w:i w:val="false"/>
          <w:color w:val="000000"/>
          <w:sz w:val="28"/>
        </w:rPr>
        <w:t>
      Сведения представляются по всем договорам займа (условного обязательства), заключенным в отчетном периоде и (или) действующим или прекратившим действие в отчетном периоде, включая списанные с баланса и (или) переданные в доверительное управление, погашенные, прощенные или проданные в отчетном периоде, и по всем условным обязательствам.</w:t>
      </w:r>
    </w:p>
    <w:bookmarkEnd w:id="139"/>
    <w:bookmarkStart w:name="z155" w:id="140"/>
    <w:p>
      <w:pPr>
        <w:spacing w:after="0"/>
        <w:ind w:left="0"/>
        <w:jc w:val="both"/>
      </w:pPr>
      <w:r>
        <w:rPr>
          <w:rFonts w:ascii="Times New Roman"/>
          <w:b w:val="false"/>
          <w:i w:val="false"/>
          <w:color w:val="000000"/>
          <w:sz w:val="28"/>
        </w:rPr>
        <w:t>
      В целях Таблицы 3 к платежным карточкам относятся займы, выдаваемые держателям платежной карточки в пределах постоянного лимита, установленного договором выпуска платежной карточки, и не требующие одобрения кредитора. Займы, выдаваемые держателям платежных карточек в рамках переменного лимита, устанавливаемого кредитором для каждого запрашиваемого заемщиком займа, классифицируются в Таблице 3 как займы, выдаваемые в рамках кредитной линии.</w:t>
      </w:r>
    </w:p>
    <w:bookmarkEnd w:id="140"/>
    <w:bookmarkStart w:name="z156" w:id="141"/>
    <w:p>
      <w:pPr>
        <w:spacing w:after="0"/>
        <w:ind w:left="0"/>
        <w:jc w:val="both"/>
      </w:pPr>
      <w:r>
        <w:rPr>
          <w:rFonts w:ascii="Times New Roman"/>
          <w:b w:val="false"/>
          <w:i w:val="false"/>
          <w:color w:val="000000"/>
          <w:sz w:val="28"/>
        </w:rPr>
        <w:t>
      Связь займа (условного обязательства) с субъектом кредитной истории в информационной системе Национального Банка Республики Казахстан, предназначенной для сбора отчетности по займам и условным обязательствам, устанавливается по идентификатору субъекта.</w:t>
      </w:r>
    </w:p>
    <w:bookmarkEnd w:id="141"/>
    <w:bookmarkStart w:name="z157" w:id="142"/>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142"/>
    <w:bookmarkStart w:name="z158" w:id="143"/>
    <w:p>
      <w:pPr>
        <w:spacing w:after="0"/>
        <w:ind w:left="0"/>
        <w:jc w:val="both"/>
      </w:pPr>
      <w:r>
        <w:rPr>
          <w:rFonts w:ascii="Times New Roman"/>
          <w:b w:val="false"/>
          <w:i w:val="false"/>
          <w:color w:val="000000"/>
          <w:sz w:val="28"/>
        </w:rPr>
        <w:t>
      19. В строках 1.1, 1.2.1, 2.1, 2.5, 2.7, 2.9.1, 2.9.2, 2.12.1, 2.12.2, 2.13.1, 3.1, 3.2, 3.4.1 Таблицы 3 значения выбираются из справочников.</w:t>
      </w:r>
    </w:p>
    <w:bookmarkEnd w:id="143"/>
    <w:bookmarkStart w:name="z159" w:id="144"/>
    <w:p>
      <w:pPr>
        <w:spacing w:after="0"/>
        <w:ind w:left="0"/>
        <w:jc w:val="both"/>
      </w:pPr>
      <w:r>
        <w:rPr>
          <w:rFonts w:ascii="Times New Roman"/>
          <w:b w:val="false"/>
          <w:i w:val="false"/>
          <w:color w:val="000000"/>
          <w:sz w:val="28"/>
        </w:rPr>
        <w:t>
      20. В показателях строки 1 Таблицы 3 одному договору займа (условного обязательства) допускается соответствие нескольких субъектов кредитной истории с разными ролями, вид которых указывается в строке 1.1 Таблицы 3.</w:t>
      </w:r>
    </w:p>
    <w:bookmarkEnd w:id="144"/>
    <w:bookmarkStart w:name="z160" w:id="145"/>
    <w:p>
      <w:pPr>
        <w:spacing w:after="0"/>
        <w:ind w:left="0"/>
        <w:jc w:val="both"/>
      </w:pPr>
      <w:r>
        <w:rPr>
          <w:rFonts w:ascii="Times New Roman"/>
          <w:b w:val="false"/>
          <w:i w:val="false"/>
          <w:color w:val="000000"/>
          <w:sz w:val="28"/>
        </w:rPr>
        <w:t>
      В строке 1.2 Таблицы 3 по одному субъекту кредитной истории допускается одновременное отражение нескольких актуальных значений.</w:t>
      </w:r>
    </w:p>
    <w:bookmarkEnd w:id="145"/>
    <w:bookmarkStart w:name="z161" w:id="146"/>
    <w:p>
      <w:pPr>
        <w:spacing w:after="0"/>
        <w:ind w:left="0"/>
        <w:jc w:val="both"/>
      </w:pPr>
      <w:r>
        <w:rPr>
          <w:rFonts w:ascii="Times New Roman"/>
          <w:b w:val="false"/>
          <w:i w:val="false"/>
          <w:color w:val="000000"/>
          <w:sz w:val="28"/>
        </w:rPr>
        <w:t>
      В строке 1.3 Таблицы 3 значение "1" указывается, если заем (условное обязательство) предоставляется индивидуальному предпринимателю, осуществляющему деятельность в виде личного предпринимательства, в целях осуществления предпринимательской деятельности. Одному субъекту кредитной истории и одному договору займа соответствует не более одного актуального значения показателя в строке 1.3 Таблицы 3.</w:t>
      </w:r>
    </w:p>
    <w:bookmarkEnd w:id="146"/>
    <w:bookmarkStart w:name="z162" w:id="147"/>
    <w:p>
      <w:pPr>
        <w:spacing w:after="0"/>
        <w:ind w:left="0"/>
        <w:jc w:val="both"/>
      </w:pPr>
      <w:r>
        <w:rPr>
          <w:rFonts w:ascii="Times New Roman"/>
          <w:b w:val="false"/>
          <w:i w:val="false"/>
          <w:color w:val="000000"/>
          <w:sz w:val="28"/>
        </w:rPr>
        <w:t>
      21. В строках 2.1, 2.2, 2.3, 2.4, 2,5, 2.6, 2.7, 2.8, 2.9, 2.10, 2.11 Таблицы 3 одному договору соответствует не более одного актуального значения.</w:t>
      </w:r>
    </w:p>
    <w:bookmarkEnd w:id="147"/>
    <w:bookmarkStart w:name="z163" w:id="148"/>
    <w:p>
      <w:pPr>
        <w:spacing w:after="0"/>
        <w:ind w:left="0"/>
        <w:jc w:val="both"/>
      </w:pPr>
      <w:r>
        <w:rPr>
          <w:rFonts w:ascii="Times New Roman"/>
          <w:b w:val="false"/>
          <w:i w:val="false"/>
          <w:color w:val="000000"/>
          <w:sz w:val="28"/>
        </w:rPr>
        <w:t>
      22. В строках 2.2 и 2.3 Таблицы 3 кредитор обеспечивает указание показателей, однозначно идентифицирующих договор, заключенный между субъектом кредитной истории и кредитором.</w:t>
      </w:r>
    </w:p>
    <w:bookmarkEnd w:id="148"/>
    <w:bookmarkStart w:name="z164" w:id="149"/>
    <w:p>
      <w:pPr>
        <w:spacing w:after="0"/>
        <w:ind w:left="0"/>
        <w:jc w:val="both"/>
      </w:pPr>
      <w:r>
        <w:rPr>
          <w:rFonts w:ascii="Times New Roman"/>
          <w:b w:val="false"/>
          <w:i w:val="false"/>
          <w:color w:val="000000"/>
          <w:sz w:val="28"/>
        </w:rPr>
        <w:t>
      Показатели "номер договора", "дата договора" служат идентификаторами договора займа (условного обязательства) в информационной системе Национального Банка Республики Казахстан,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w:t>
      </w:r>
    </w:p>
    <w:bookmarkEnd w:id="149"/>
    <w:bookmarkStart w:name="z165" w:id="150"/>
    <w:p>
      <w:pPr>
        <w:spacing w:after="0"/>
        <w:ind w:left="0"/>
        <w:jc w:val="both"/>
      </w:pPr>
      <w:r>
        <w:rPr>
          <w:rFonts w:ascii="Times New Roman"/>
          <w:b w:val="false"/>
          <w:i w:val="false"/>
          <w:color w:val="000000"/>
          <w:sz w:val="28"/>
        </w:rPr>
        <w:t>
      Если внутренними документами кредитора предусмотрено присвоение идентификационного номера займу (условному обязательству) в автоматизированных информационных системах кредитора, в качестве номера договора допускается передача идентификационного номера из автоматизированной информационной системы кредитора. Кредитор обеспечивает указание показателей, идентичных номеру и дате заключенного им договора займа (условного обязательства).</w:t>
      </w:r>
    </w:p>
    <w:bookmarkEnd w:id="150"/>
    <w:bookmarkStart w:name="z166" w:id="151"/>
    <w:p>
      <w:pPr>
        <w:spacing w:after="0"/>
        <w:ind w:left="0"/>
        <w:jc w:val="both"/>
      </w:pPr>
      <w:r>
        <w:rPr>
          <w:rFonts w:ascii="Times New Roman"/>
          <w:b w:val="false"/>
          <w:i w:val="false"/>
          <w:color w:val="000000"/>
          <w:sz w:val="28"/>
        </w:rPr>
        <w:t>
      Если по платежным карточкам с постоянным кредитным лимитом оформляется общий договор о выпуске платежных карточек, по показателю "номер договора" указывается номер общего договора о выпуске платежной карточки и через знак "/" номер платежной карточки.</w:t>
      </w:r>
    </w:p>
    <w:bookmarkEnd w:id="151"/>
    <w:bookmarkStart w:name="z167" w:id="152"/>
    <w:p>
      <w:pPr>
        <w:spacing w:after="0"/>
        <w:ind w:left="0"/>
        <w:jc w:val="both"/>
      </w:pPr>
      <w:r>
        <w:rPr>
          <w:rFonts w:ascii="Times New Roman"/>
          <w:b w:val="false"/>
          <w:i w:val="false"/>
          <w:color w:val="000000"/>
          <w:sz w:val="28"/>
        </w:rPr>
        <w:t>
      Если выдача займа в рамках кредитной линии осуществляется на основании заявления, по показателю "номер договора" указывается номер соглашения о предоставлении (открытии) кредитной линии и через знак "/" идентификационный номер займа. Для займов, выдаваемых держателю платежной карточки в рамках кредитной линии, по показателю "номер договора" указывается номер договора о выпуске платежной карточки и через знак "/" идентификатор займа.</w:t>
      </w:r>
    </w:p>
    <w:bookmarkEnd w:id="152"/>
    <w:bookmarkStart w:name="z168" w:id="153"/>
    <w:p>
      <w:pPr>
        <w:spacing w:after="0"/>
        <w:ind w:left="0"/>
        <w:jc w:val="both"/>
      </w:pPr>
      <w:r>
        <w:rPr>
          <w:rFonts w:ascii="Times New Roman"/>
          <w:b w:val="false"/>
          <w:i w:val="false"/>
          <w:color w:val="000000"/>
          <w:sz w:val="28"/>
        </w:rPr>
        <w:t>
      По сделкам операций обратное репо, заключенным автоматическим способом, указывается идентификатор сделки.</w:t>
      </w:r>
    </w:p>
    <w:bookmarkEnd w:id="153"/>
    <w:bookmarkStart w:name="z169" w:id="154"/>
    <w:p>
      <w:pPr>
        <w:spacing w:after="0"/>
        <w:ind w:left="0"/>
        <w:jc w:val="both"/>
      </w:pPr>
      <w:r>
        <w:rPr>
          <w:rFonts w:ascii="Times New Roman"/>
          <w:b w:val="false"/>
          <w:i w:val="false"/>
          <w:color w:val="000000"/>
          <w:sz w:val="28"/>
        </w:rPr>
        <w:t>
      Дата договора позднее фактической даты выдачи, даты погашения по условиям договора, фактической даты прекращения обязательства или позднее отчетной даты не допускается.</w:t>
      </w:r>
    </w:p>
    <w:bookmarkEnd w:id="154"/>
    <w:bookmarkStart w:name="z170" w:id="155"/>
    <w:p>
      <w:pPr>
        <w:spacing w:after="0"/>
        <w:ind w:left="0"/>
        <w:jc w:val="both"/>
      </w:pPr>
      <w:r>
        <w:rPr>
          <w:rFonts w:ascii="Times New Roman"/>
          <w:b w:val="false"/>
          <w:i w:val="false"/>
          <w:color w:val="000000"/>
          <w:sz w:val="28"/>
        </w:rPr>
        <w:t>
      23. Строка 2.4 Таблицы 3 предназначена для идентификации кредитной линии, в рамках которой предоставляется заем, и является обязательной для заполнения для всех займов, выданных в рамках кредитной линии.</w:t>
      </w:r>
    </w:p>
    <w:bookmarkEnd w:id="155"/>
    <w:bookmarkStart w:name="z171" w:id="156"/>
    <w:p>
      <w:pPr>
        <w:spacing w:after="0"/>
        <w:ind w:left="0"/>
        <w:jc w:val="both"/>
      </w:pPr>
      <w:r>
        <w:rPr>
          <w:rFonts w:ascii="Times New Roman"/>
          <w:b w:val="false"/>
          <w:i w:val="false"/>
          <w:color w:val="000000"/>
          <w:sz w:val="28"/>
        </w:rPr>
        <w:t>
      Кредитор обеспечивает идентичность значений показателя номеру и дате соответствующей кредитной линии.</w:t>
      </w:r>
    </w:p>
    <w:bookmarkEnd w:id="156"/>
    <w:bookmarkStart w:name="z172" w:id="157"/>
    <w:p>
      <w:pPr>
        <w:spacing w:after="0"/>
        <w:ind w:left="0"/>
        <w:jc w:val="both"/>
      </w:pPr>
      <w:r>
        <w:rPr>
          <w:rFonts w:ascii="Times New Roman"/>
          <w:b w:val="false"/>
          <w:i w:val="false"/>
          <w:color w:val="000000"/>
          <w:sz w:val="28"/>
        </w:rPr>
        <w:t>
      24. В строке 2.5 Таблицы 3 указывается бизнес-идентификационный номер регионального подразделения (филиала) кредитора, в котором обслуживается заем (условное обязательство). Если обслуживание займа (условного обязательства) осуществляется по месту нахождения головной организации кредитора или филиалом банка-нерезидента Республики Казахстан, указывается бизнес-идентификационный номер кредитора.</w:t>
      </w:r>
    </w:p>
    <w:bookmarkEnd w:id="157"/>
    <w:bookmarkStart w:name="z173" w:id="158"/>
    <w:p>
      <w:pPr>
        <w:spacing w:after="0"/>
        <w:ind w:left="0"/>
        <w:jc w:val="both"/>
      </w:pPr>
      <w:r>
        <w:rPr>
          <w:rFonts w:ascii="Times New Roman"/>
          <w:b w:val="false"/>
          <w:i w:val="false"/>
          <w:color w:val="000000"/>
          <w:sz w:val="28"/>
        </w:rPr>
        <w:t>
      Справочник филиалов ведется Национальным Банком Республики Казахстан в информационной системе, предназначенной для сбора отчетности по займам и условным обязательствам, на основании представленных кредитором сведений о своих филиалах, обновление которых осуществляется по мере необходимости.</w:t>
      </w:r>
    </w:p>
    <w:bookmarkEnd w:id="158"/>
    <w:bookmarkStart w:name="z174" w:id="159"/>
    <w:p>
      <w:pPr>
        <w:spacing w:after="0"/>
        <w:ind w:left="0"/>
        <w:jc w:val="both"/>
      </w:pPr>
      <w:r>
        <w:rPr>
          <w:rFonts w:ascii="Times New Roman"/>
          <w:b w:val="false"/>
          <w:i w:val="false"/>
          <w:color w:val="000000"/>
          <w:sz w:val="28"/>
        </w:rPr>
        <w:t>
      25. Строка 2.6 Таблицы 3 предназначена для отражения даты окончания срока займа (условного обязательства), указанного в договоре с учетом дополнительных соглашений.</w:t>
      </w:r>
    </w:p>
    <w:bookmarkEnd w:id="159"/>
    <w:bookmarkStart w:name="z175" w:id="160"/>
    <w:p>
      <w:pPr>
        <w:spacing w:after="0"/>
        <w:ind w:left="0"/>
        <w:jc w:val="both"/>
      </w:pPr>
      <w:r>
        <w:rPr>
          <w:rFonts w:ascii="Times New Roman"/>
          <w:b w:val="false"/>
          <w:i w:val="false"/>
          <w:color w:val="000000"/>
          <w:sz w:val="28"/>
        </w:rPr>
        <w:t>
      Если в договоре отсутствует срок окончания его действия, показатель не передается.</w:t>
      </w:r>
    </w:p>
    <w:bookmarkEnd w:id="160"/>
    <w:bookmarkStart w:name="z176" w:id="161"/>
    <w:p>
      <w:pPr>
        <w:spacing w:after="0"/>
        <w:ind w:left="0"/>
        <w:jc w:val="both"/>
      </w:pPr>
      <w:r>
        <w:rPr>
          <w:rFonts w:ascii="Times New Roman"/>
          <w:b w:val="false"/>
          <w:i w:val="false"/>
          <w:color w:val="000000"/>
          <w:sz w:val="28"/>
        </w:rPr>
        <w:t>
      26. Строка 2.8 Таблицы 3 предназначена для отражения суммы займа (условного обязательства) в валюте, установленной договором, с учетом дополнительных соглашений.</w:t>
      </w:r>
    </w:p>
    <w:bookmarkEnd w:id="161"/>
    <w:bookmarkStart w:name="z177" w:id="162"/>
    <w:p>
      <w:pPr>
        <w:spacing w:after="0"/>
        <w:ind w:left="0"/>
        <w:jc w:val="both"/>
      </w:pPr>
      <w:r>
        <w:rPr>
          <w:rFonts w:ascii="Times New Roman"/>
          <w:b w:val="false"/>
          <w:i w:val="false"/>
          <w:color w:val="000000"/>
          <w:sz w:val="28"/>
        </w:rPr>
        <w:t>
      Для займов, выданных держателям платежных карточек, кредитной линии, овердрафта в качестве суммы займа (условного обязательства) указывается кредитный лимит по договору в выбранной валюте.</w:t>
      </w:r>
    </w:p>
    <w:bookmarkEnd w:id="162"/>
    <w:bookmarkStart w:name="z178" w:id="163"/>
    <w:p>
      <w:pPr>
        <w:spacing w:after="0"/>
        <w:ind w:left="0"/>
        <w:jc w:val="both"/>
      </w:pPr>
      <w:r>
        <w:rPr>
          <w:rFonts w:ascii="Times New Roman"/>
          <w:b w:val="false"/>
          <w:i w:val="false"/>
          <w:color w:val="000000"/>
          <w:sz w:val="28"/>
        </w:rPr>
        <w:t>
      При изменении суммы займа (условного обязательства) в валюте договора или вида валюты по договору соответствующая информация подлежит актуализации.</w:t>
      </w:r>
    </w:p>
    <w:bookmarkEnd w:id="163"/>
    <w:bookmarkStart w:name="z179" w:id="164"/>
    <w:p>
      <w:pPr>
        <w:spacing w:after="0"/>
        <w:ind w:left="0"/>
        <w:jc w:val="both"/>
      </w:pPr>
      <w:r>
        <w:rPr>
          <w:rFonts w:ascii="Times New Roman"/>
          <w:b w:val="false"/>
          <w:i w:val="false"/>
          <w:color w:val="000000"/>
          <w:sz w:val="28"/>
        </w:rPr>
        <w:t>
      Сумма займа в валюте договора меньше суммы остатка основного долга в валюте договора не допускается, за исключением займов, выданных держателям платежных карточек с постоянным кредитным лимитом, установленным договором выпуска платежной карточки.</w:t>
      </w:r>
    </w:p>
    <w:bookmarkEnd w:id="164"/>
    <w:bookmarkStart w:name="z180" w:id="165"/>
    <w:p>
      <w:pPr>
        <w:spacing w:after="0"/>
        <w:ind w:left="0"/>
        <w:jc w:val="both"/>
      </w:pPr>
      <w:r>
        <w:rPr>
          <w:rFonts w:ascii="Times New Roman"/>
          <w:b w:val="false"/>
          <w:i w:val="false"/>
          <w:color w:val="000000"/>
          <w:sz w:val="28"/>
        </w:rPr>
        <w:t>
      27. В показателях строки 2.9 Таблицы 3 отражение ставки в разбивке на фиксированный спрэд плавающей ставки и плавающий индекс является обязательным для всех договоров займа, в которых установлена плавающая ставка вознаграждения, заключенных или в которые вносятся изменения после 1 июля 2019 года.</w:t>
      </w:r>
    </w:p>
    <w:bookmarkEnd w:id="165"/>
    <w:bookmarkStart w:name="z181" w:id="166"/>
    <w:p>
      <w:pPr>
        <w:spacing w:after="0"/>
        <w:ind w:left="0"/>
        <w:jc w:val="both"/>
      </w:pPr>
      <w:r>
        <w:rPr>
          <w:rFonts w:ascii="Times New Roman"/>
          <w:b w:val="false"/>
          <w:i w:val="false"/>
          <w:color w:val="000000"/>
          <w:sz w:val="28"/>
        </w:rPr>
        <w:t>
      Справочник плавающих индексов ведется кредиторами, соответствующая информация в справочнике обновляется кредиторами самостоятельно по мере необходимости.</w:t>
      </w:r>
    </w:p>
    <w:bookmarkEnd w:id="166"/>
    <w:bookmarkStart w:name="z182" w:id="167"/>
    <w:p>
      <w:pPr>
        <w:spacing w:after="0"/>
        <w:ind w:left="0"/>
        <w:jc w:val="both"/>
      </w:pPr>
      <w:r>
        <w:rPr>
          <w:rFonts w:ascii="Times New Roman"/>
          <w:b w:val="false"/>
          <w:i w:val="false"/>
          <w:color w:val="000000"/>
          <w:sz w:val="28"/>
        </w:rPr>
        <w:t>
      28. В строке 2.11 Таблицы 3 при отсутствии обеспечения по займу (условному обязательству) указывается значение "1", в ином случае указывается "0" или показатель не передается.</w:t>
      </w:r>
    </w:p>
    <w:bookmarkEnd w:id="167"/>
    <w:bookmarkStart w:name="z183" w:id="168"/>
    <w:p>
      <w:pPr>
        <w:spacing w:after="0"/>
        <w:ind w:left="0"/>
        <w:jc w:val="both"/>
      </w:pPr>
      <w:r>
        <w:rPr>
          <w:rFonts w:ascii="Times New Roman"/>
          <w:b w:val="false"/>
          <w:i w:val="false"/>
          <w:color w:val="000000"/>
          <w:sz w:val="28"/>
        </w:rPr>
        <w:t>
      Показатель является обязательным для заполнения для всех займов (условных обязательств), по которым отсутствует обеспечение.</w:t>
      </w:r>
    </w:p>
    <w:bookmarkEnd w:id="168"/>
    <w:bookmarkStart w:name="z184" w:id="169"/>
    <w:p>
      <w:pPr>
        <w:spacing w:after="0"/>
        <w:ind w:left="0"/>
        <w:jc w:val="both"/>
      </w:pPr>
      <w:r>
        <w:rPr>
          <w:rFonts w:ascii="Times New Roman"/>
          <w:b w:val="false"/>
          <w:i w:val="false"/>
          <w:color w:val="000000"/>
          <w:sz w:val="28"/>
        </w:rPr>
        <w:t>
      29. Строка 2.12 Таблицы 3 предназначена для отражения целевого назначения займа и распределения суммы займа по целям кредитования. Показатели "цель кредитования", "объект кредитования" и "доля от суммы займа" отражаются и обновляются в соответствии с договором с учетом дополнительных соглашений.</w:t>
      </w:r>
    </w:p>
    <w:bookmarkEnd w:id="169"/>
    <w:bookmarkStart w:name="z185" w:id="170"/>
    <w:p>
      <w:pPr>
        <w:spacing w:after="0"/>
        <w:ind w:left="0"/>
        <w:jc w:val="both"/>
      </w:pPr>
      <w:r>
        <w:rPr>
          <w:rFonts w:ascii="Times New Roman"/>
          <w:b w:val="false"/>
          <w:i w:val="false"/>
          <w:color w:val="000000"/>
          <w:sz w:val="28"/>
        </w:rPr>
        <w:t>
      Целевое назначение займа определяется посредством комбинирования значений показателей "цель кредитования" и "объект кредитования".</w:t>
      </w:r>
    </w:p>
    <w:bookmarkEnd w:id="170"/>
    <w:bookmarkStart w:name="z186" w:id="171"/>
    <w:p>
      <w:pPr>
        <w:spacing w:after="0"/>
        <w:ind w:left="0"/>
        <w:jc w:val="both"/>
      </w:pPr>
      <w:r>
        <w:rPr>
          <w:rFonts w:ascii="Times New Roman"/>
          <w:b w:val="false"/>
          <w:i w:val="false"/>
          <w:color w:val="000000"/>
          <w:sz w:val="28"/>
        </w:rPr>
        <w:t>
      Совокупная сумма долей по одному займу, отражающих распределение суммы займа по целям, равняется 100 (ста) процентам.</w:t>
      </w:r>
    </w:p>
    <w:bookmarkEnd w:id="171"/>
    <w:bookmarkStart w:name="z187" w:id="172"/>
    <w:p>
      <w:pPr>
        <w:spacing w:after="0"/>
        <w:ind w:left="0"/>
        <w:jc w:val="both"/>
      </w:pPr>
      <w:r>
        <w:rPr>
          <w:rFonts w:ascii="Times New Roman"/>
          <w:b w:val="false"/>
          <w:i w:val="false"/>
          <w:color w:val="000000"/>
          <w:sz w:val="28"/>
        </w:rPr>
        <w:t>
      Показатели строки 2.12 Таблицы 3 не предоставляются для операций обратное репо и условных обязательств, не являющихся кредитными линиями.</w:t>
      </w:r>
    </w:p>
    <w:bookmarkEnd w:id="172"/>
    <w:bookmarkStart w:name="z188" w:id="173"/>
    <w:p>
      <w:pPr>
        <w:spacing w:after="0"/>
        <w:ind w:left="0"/>
        <w:jc w:val="both"/>
      </w:pPr>
      <w:r>
        <w:rPr>
          <w:rFonts w:ascii="Times New Roman"/>
          <w:b w:val="false"/>
          <w:i w:val="false"/>
          <w:color w:val="000000"/>
          <w:sz w:val="28"/>
        </w:rPr>
        <w:t>
      30. Строка 2.13 Таблицы 3 предназначена для отражения источников средств, за счет которых финансируется заем или приобретены права требования по займу, и распределения суммы займа по источникам финансирования.</w:t>
      </w:r>
    </w:p>
    <w:bookmarkEnd w:id="173"/>
    <w:bookmarkStart w:name="z189" w:id="174"/>
    <w:p>
      <w:pPr>
        <w:spacing w:after="0"/>
        <w:ind w:left="0"/>
        <w:jc w:val="both"/>
      </w:pPr>
      <w:r>
        <w:rPr>
          <w:rFonts w:ascii="Times New Roman"/>
          <w:b w:val="false"/>
          <w:i w:val="false"/>
          <w:color w:val="000000"/>
          <w:sz w:val="28"/>
        </w:rPr>
        <w:t>
      Совокупная сумма долей по одному договору, отражающих распределение суммы займа по источникам финансирования, равняется 100 (ста) процентам.</w:t>
      </w:r>
    </w:p>
    <w:bookmarkEnd w:id="174"/>
    <w:bookmarkStart w:name="z190" w:id="175"/>
    <w:p>
      <w:pPr>
        <w:spacing w:after="0"/>
        <w:ind w:left="0"/>
        <w:jc w:val="both"/>
      </w:pPr>
      <w:r>
        <w:rPr>
          <w:rFonts w:ascii="Times New Roman"/>
          <w:b w:val="false"/>
          <w:i w:val="false"/>
          <w:color w:val="000000"/>
          <w:sz w:val="28"/>
        </w:rPr>
        <w:t>
      Показатели являются обязательными для заполнения по всем займам.</w:t>
      </w:r>
    </w:p>
    <w:bookmarkEnd w:id="175"/>
    <w:bookmarkStart w:name="z191" w:id="176"/>
    <w:p>
      <w:pPr>
        <w:spacing w:after="0"/>
        <w:ind w:left="0"/>
        <w:jc w:val="both"/>
      </w:pPr>
      <w:r>
        <w:rPr>
          <w:rFonts w:ascii="Times New Roman"/>
          <w:b w:val="false"/>
          <w:i w:val="false"/>
          <w:color w:val="000000"/>
          <w:sz w:val="28"/>
        </w:rPr>
        <w:t>
      31. Показатели строки 3 Таблицы 3 предназначены для идентификации займов, права требования по которым переданы (проданы) третьему лицу или приняты (куплены) у третьего лица.</w:t>
      </w:r>
    </w:p>
    <w:bookmarkEnd w:id="176"/>
    <w:bookmarkStart w:name="z192" w:id="177"/>
    <w:p>
      <w:pPr>
        <w:spacing w:after="0"/>
        <w:ind w:left="0"/>
        <w:jc w:val="both"/>
      </w:pPr>
      <w:r>
        <w:rPr>
          <w:rFonts w:ascii="Times New Roman"/>
          <w:b w:val="false"/>
          <w:i w:val="false"/>
          <w:color w:val="000000"/>
          <w:sz w:val="28"/>
        </w:rPr>
        <w:t>
      Показатели являются обязательными для заполнения для всех займов, права требования по которым переданы (проданы) или приняты (куплены).</w:t>
      </w:r>
    </w:p>
    <w:bookmarkEnd w:id="177"/>
    <w:bookmarkStart w:name="z193" w:id="178"/>
    <w:p>
      <w:pPr>
        <w:spacing w:after="0"/>
        <w:ind w:left="0"/>
        <w:jc w:val="both"/>
      </w:pPr>
      <w:r>
        <w:rPr>
          <w:rFonts w:ascii="Times New Roman"/>
          <w:b w:val="false"/>
          <w:i w:val="false"/>
          <w:color w:val="000000"/>
          <w:sz w:val="28"/>
        </w:rPr>
        <w:t>
      32. В строке 4 Таблицы 3 отражается дата, по состоянию на которые учтены соответствующие сведения о договоре займа (условного обязательства) и о графике погашения займа.</w:t>
      </w:r>
    </w:p>
    <w:bookmarkEnd w:id="178"/>
    <w:bookmarkStart w:name="z194" w:id="179"/>
    <w:p>
      <w:pPr>
        <w:spacing w:after="0"/>
        <w:ind w:left="0"/>
        <w:jc w:val="both"/>
      </w:pPr>
      <w:r>
        <w:rPr>
          <w:rFonts w:ascii="Times New Roman"/>
          <w:b w:val="false"/>
          <w:i w:val="false"/>
          <w:color w:val="000000"/>
          <w:sz w:val="28"/>
        </w:rPr>
        <w:t>
      33. При заполнении Таблице 4,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179"/>
    <w:bookmarkStart w:name="z195" w:id="180"/>
    <w:p>
      <w:pPr>
        <w:spacing w:after="0"/>
        <w:ind w:left="0"/>
        <w:jc w:val="both"/>
      </w:pPr>
      <w:r>
        <w:rPr>
          <w:rFonts w:ascii="Times New Roman"/>
          <w:b w:val="false"/>
          <w:i w:val="false"/>
          <w:color w:val="000000"/>
          <w:sz w:val="28"/>
        </w:rPr>
        <w:t>
      основания прекращения залога;</w:t>
      </w:r>
    </w:p>
    <w:bookmarkEnd w:id="180"/>
    <w:bookmarkStart w:name="z196" w:id="181"/>
    <w:p>
      <w:pPr>
        <w:spacing w:after="0"/>
        <w:ind w:left="0"/>
        <w:jc w:val="both"/>
      </w:pPr>
      <w:r>
        <w:rPr>
          <w:rFonts w:ascii="Times New Roman"/>
          <w:b w:val="false"/>
          <w:i w:val="false"/>
          <w:color w:val="000000"/>
          <w:sz w:val="28"/>
        </w:rPr>
        <w:t>
      виды идентификатора;</w:t>
      </w:r>
    </w:p>
    <w:bookmarkEnd w:id="181"/>
    <w:bookmarkStart w:name="z197" w:id="182"/>
    <w:p>
      <w:pPr>
        <w:spacing w:after="0"/>
        <w:ind w:left="0"/>
        <w:jc w:val="both"/>
      </w:pPr>
      <w:r>
        <w:rPr>
          <w:rFonts w:ascii="Times New Roman"/>
          <w:b w:val="false"/>
          <w:i w:val="false"/>
          <w:color w:val="000000"/>
          <w:sz w:val="28"/>
        </w:rPr>
        <w:t>
      виды обеспечения;</w:t>
      </w:r>
    </w:p>
    <w:bookmarkEnd w:id="182"/>
    <w:bookmarkStart w:name="z198" w:id="183"/>
    <w:p>
      <w:pPr>
        <w:spacing w:after="0"/>
        <w:ind w:left="0"/>
        <w:jc w:val="both"/>
      </w:pPr>
      <w:r>
        <w:rPr>
          <w:rFonts w:ascii="Times New Roman"/>
          <w:b w:val="false"/>
          <w:i w:val="false"/>
          <w:color w:val="000000"/>
          <w:sz w:val="28"/>
        </w:rPr>
        <w:t>
      виды валюты;</w:t>
      </w:r>
    </w:p>
    <w:bookmarkEnd w:id="183"/>
    <w:bookmarkStart w:name="z199" w:id="184"/>
    <w:p>
      <w:pPr>
        <w:spacing w:after="0"/>
        <w:ind w:left="0"/>
        <w:jc w:val="both"/>
      </w:pPr>
      <w:r>
        <w:rPr>
          <w:rFonts w:ascii="Times New Roman"/>
          <w:b w:val="false"/>
          <w:i w:val="false"/>
          <w:color w:val="000000"/>
          <w:sz w:val="28"/>
        </w:rPr>
        <w:t>
      номера счета.</w:t>
      </w:r>
    </w:p>
    <w:bookmarkEnd w:id="184"/>
    <w:bookmarkStart w:name="z200" w:id="185"/>
    <w:p>
      <w:pPr>
        <w:spacing w:after="0"/>
        <w:ind w:left="0"/>
        <w:jc w:val="both"/>
      </w:pPr>
      <w:r>
        <w:rPr>
          <w:rFonts w:ascii="Times New Roman"/>
          <w:b w:val="false"/>
          <w:i w:val="false"/>
          <w:color w:val="000000"/>
          <w:sz w:val="28"/>
        </w:rPr>
        <w:t>
      34. В Таблицах 4 и 5 передаются сведения об обеспечении, принятом кредитором по займам (условным обязательствам) на основании договора о залоге, гарантии и поручительства, договора страхования, или ином обеспечении, включая обеспечение в виде денег, поступающих в будущем.</w:t>
      </w:r>
    </w:p>
    <w:bookmarkEnd w:id="185"/>
    <w:bookmarkStart w:name="z201" w:id="186"/>
    <w:p>
      <w:pPr>
        <w:spacing w:after="0"/>
        <w:ind w:left="0"/>
        <w:jc w:val="both"/>
      </w:pPr>
      <w:r>
        <w:rPr>
          <w:rFonts w:ascii="Times New Roman"/>
          <w:b w:val="false"/>
          <w:i w:val="false"/>
          <w:color w:val="000000"/>
          <w:sz w:val="28"/>
        </w:rPr>
        <w:t>
      Если заем (условное обязательство) не обеспечен залогом, гарантией или поручительством, и иными видами обеспечения, предусмотренными справочником, то сведения по Форме не передаются.</w:t>
      </w:r>
    </w:p>
    <w:bookmarkEnd w:id="186"/>
    <w:bookmarkStart w:name="z202" w:id="187"/>
    <w:p>
      <w:pPr>
        <w:spacing w:after="0"/>
        <w:ind w:left="0"/>
        <w:jc w:val="both"/>
      </w:pPr>
      <w:r>
        <w:rPr>
          <w:rFonts w:ascii="Times New Roman"/>
          <w:b w:val="false"/>
          <w:i w:val="false"/>
          <w:color w:val="000000"/>
          <w:sz w:val="28"/>
        </w:rPr>
        <w:t>
      Если по займу отдельный договор о залоге не заключен, но договором займа предусмотрено право обращения взыскания на залоговое имущество при неисполнении субъектом кредитной истории (являющимся должником) обязательств, в качестве договора о залоге указывается соответствующий договор займа.</w:t>
      </w:r>
    </w:p>
    <w:bookmarkEnd w:id="187"/>
    <w:bookmarkStart w:name="z203" w:id="188"/>
    <w:p>
      <w:pPr>
        <w:spacing w:after="0"/>
        <w:ind w:left="0"/>
        <w:jc w:val="both"/>
      </w:pPr>
      <w:r>
        <w:rPr>
          <w:rFonts w:ascii="Times New Roman"/>
          <w:b w:val="false"/>
          <w:i w:val="false"/>
          <w:color w:val="000000"/>
          <w:sz w:val="28"/>
        </w:rPr>
        <w:t>
      По финансовому лизингу в качестве обеспечения указывается предмет лизинга.</w:t>
      </w:r>
    </w:p>
    <w:bookmarkEnd w:id="188"/>
    <w:bookmarkStart w:name="z204" w:id="189"/>
    <w:p>
      <w:pPr>
        <w:spacing w:after="0"/>
        <w:ind w:left="0"/>
        <w:jc w:val="both"/>
      </w:pPr>
      <w:r>
        <w:rPr>
          <w:rFonts w:ascii="Times New Roman"/>
          <w:b w:val="false"/>
          <w:i w:val="false"/>
          <w:color w:val="000000"/>
          <w:sz w:val="28"/>
        </w:rPr>
        <w:t>
      Договор о залоге связывается посредством идентификаторов со всеми договорами займа (условного обязательства), по которым соответствующее залоговое имущество (гарантия или поручительство, или иное имущество) выступает обеспечением. Связь каждого договора о залоге с договором займа (условного обязательства) указывается отдельно.</w:t>
      </w:r>
    </w:p>
    <w:bookmarkEnd w:id="189"/>
    <w:bookmarkStart w:name="z205" w:id="190"/>
    <w:p>
      <w:pPr>
        <w:spacing w:after="0"/>
        <w:ind w:left="0"/>
        <w:jc w:val="both"/>
      </w:pPr>
      <w:r>
        <w:rPr>
          <w:rFonts w:ascii="Times New Roman"/>
          <w:b w:val="false"/>
          <w:i w:val="false"/>
          <w:color w:val="000000"/>
          <w:sz w:val="28"/>
        </w:rPr>
        <w:t>
      Если договор о залоге прекращен, то на соответствующую учетную дату в Таблице 5 по обеспеченным им займам (условным обязательствам) указывается обнуление распределенной доли.</w:t>
      </w:r>
    </w:p>
    <w:bookmarkEnd w:id="190"/>
    <w:bookmarkStart w:name="z206" w:id="191"/>
    <w:p>
      <w:pPr>
        <w:spacing w:after="0"/>
        <w:ind w:left="0"/>
        <w:jc w:val="both"/>
      </w:pPr>
      <w:r>
        <w:rPr>
          <w:rFonts w:ascii="Times New Roman"/>
          <w:b w:val="false"/>
          <w:i w:val="false"/>
          <w:color w:val="000000"/>
          <w:sz w:val="28"/>
        </w:rPr>
        <w:t>
      Если договор займа (условного обязательства) прекращен, то на соответствующую учетную дату в Таблице 5 по указанному займу (условному обязательству) указывается обнуление распределенной доли.</w:t>
      </w:r>
    </w:p>
    <w:bookmarkEnd w:id="191"/>
    <w:bookmarkStart w:name="z207" w:id="192"/>
    <w:p>
      <w:pPr>
        <w:spacing w:after="0"/>
        <w:ind w:left="0"/>
        <w:jc w:val="both"/>
      </w:pPr>
      <w:r>
        <w:rPr>
          <w:rFonts w:ascii="Times New Roman"/>
          <w:b w:val="false"/>
          <w:i w:val="false"/>
          <w:color w:val="000000"/>
          <w:sz w:val="28"/>
        </w:rPr>
        <w:t>
      В Таблице 5 одному договору займа (условного обязательства) допускается соответствие нескольких договоров о залоге, одному договору о залоге допускается соответствие нескольких договоров займа (условного обязательства).</w:t>
      </w:r>
    </w:p>
    <w:bookmarkEnd w:id="192"/>
    <w:bookmarkStart w:name="z208" w:id="193"/>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193"/>
    <w:bookmarkStart w:name="z209" w:id="194"/>
    <w:p>
      <w:pPr>
        <w:spacing w:after="0"/>
        <w:ind w:left="0"/>
        <w:jc w:val="both"/>
      </w:pPr>
      <w:r>
        <w:rPr>
          <w:rFonts w:ascii="Times New Roman"/>
          <w:b w:val="false"/>
          <w:i w:val="false"/>
          <w:color w:val="000000"/>
          <w:sz w:val="28"/>
        </w:rPr>
        <w:t>
      35. В строках 2.2, 3.3.1, 4.1, 4.2, 4.5 и 4.6 Таблицы 4 значения выбираются из справочников.</w:t>
      </w:r>
    </w:p>
    <w:bookmarkEnd w:id="194"/>
    <w:bookmarkStart w:name="z210" w:id="195"/>
    <w:p>
      <w:pPr>
        <w:spacing w:after="0"/>
        <w:ind w:left="0"/>
        <w:jc w:val="both"/>
      </w:pPr>
      <w:r>
        <w:rPr>
          <w:rFonts w:ascii="Times New Roman"/>
          <w:b w:val="false"/>
          <w:i w:val="false"/>
          <w:color w:val="000000"/>
          <w:sz w:val="28"/>
        </w:rPr>
        <w:t>
      36. В строках 1.1 и 1.2 Таблицы 4 отражаются номер и дата договора о залоге, гарантии и поручительства или иного обеспечения, на основании которого кредитор (залогодержатель) имеет право при неисполнении субъектом кредитной истории (являющимся должником) обеспеченного залогом обязательства по займу (условному обязательству) получить удовлетворение из стоимости залогового имущества, предъявить требование по неисполненному обязательству к гаранту или поручителю, или иному лицу в соответствии с договором.</w:t>
      </w:r>
    </w:p>
    <w:bookmarkEnd w:id="195"/>
    <w:bookmarkStart w:name="z211" w:id="196"/>
    <w:p>
      <w:pPr>
        <w:spacing w:after="0"/>
        <w:ind w:left="0"/>
        <w:jc w:val="both"/>
      </w:pPr>
      <w:r>
        <w:rPr>
          <w:rFonts w:ascii="Times New Roman"/>
          <w:b w:val="false"/>
          <w:i w:val="false"/>
          <w:color w:val="000000"/>
          <w:sz w:val="28"/>
        </w:rPr>
        <w:t>
      Показатели "номер договора", "дата договора" служат идентификаторами договора залога или иного обеспечения в информационной системе Национального Банка Республики Казахстан,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 Кредитор обеспечивает указание показателей, идентичных номеру и дате заключенного им договора залога или иного обеспечения.</w:t>
      </w:r>
    </w:p>
    <w:bookmarkEnd w:id="196"/>
    <w:bookmarkStart w:name="z212" w:id="197"/>
    <w:p>
      <w:pPr>
        <w:spacing w:after="0"/>
        <w:ind w:left="0"/>
        <w:jc w:val="both"/>
      </w:pPr>
      <w:r>
        <w:rPr>
          <w:rFonts w:ascii="Times New Roman"/>
          <w:b w:val="false"/>
          <w:i w:val="false"/>
          <w:color w:val="000000"/>
          <w:sz w:val="28"/>
        </w:rPr>
        <w:t>
      Если в рамках одного договора о залоге предусмотрено несколько видов обеспечения, каждый из этих видов обеспечения указывается с номером и датой данного договора.</w:t>
      </w:r>
    </w:p>
    <w:bookmarkEnd w:id="197"/>
    <w:bookmarkStart w:name="z213" w:id="198"/>
    <w:p>
      <w:pPr>
        <w:spacing w:after="0"/>
        <w:ind w:left="0"/>
        <w:jc w:val="both"/>
      </w:pPr>
      <w:r>
        <w:rPr>
          <w:rFonts w:ascii="Times New Roman"/>
          <w:b w:val="false"/>
          <w:i w:val="false"/>
          <w:color w:val="000000"/>
          <w:sz w:val="28"/>
        </w:rPr>
        <w:t>
      В целях обеспечения уникальности, если внутренними документами кредитора предусмотрено присвоение договору о залоге иного идентификационного номера в автоматизированных системах, то в качестве номера договора о залоге допускается передача данного идентификационного номера, являющегося неизменным в течение периода действия договора.</w:t>
      </w:r>
    </w:p>
    <w:bookmarkEnd w:id="198"/>
    <w:bookmarkStart w:name="z214" w:id="199"/>
    <w:p>
      <w:pPr>
        <w:spacing w:after="0"/>
        <w:ind w:left="0"/>
        <w:jc w:val="both"/>
      </w:pPr>
      <w:r>
        <w:rPr>
          <w:rFonts w:ascii="Times New Roman"/>
          <w:b w:val="false"/>
          <w:i w:val="false"/>
          <w:color w:val="000000"/>
          <w:sz w:val="28"/>
        </w:rPr>
        <w:t>
      37. В строке 2 Таблицы 4 указываются фактическая дата окончания срока действия договора о залоге и основание прекращения залога.</w:t>
      </w:r>
    </w:p>
    <w:bookmarkEnd w:id="199"/>
    <w:bookmarkStart w:name="z215" w:id="200"/>
    <w:p>
      <w:pPr>
        <w:spacing w:after="0"/>
        <w:ind w:left="0"/>
        <w:jc w:val="both"/>
      </w:pPr>
      <w:r>
        <w:rPr>
          <w:rFonts w:ascii="Times New Roman"/>
          <w:b w:val="false"/>
          <w:i w:val="false"/>
          <w:color w:val="000000"/>
          <w:sz w:val="28"/>
        </w:rPr>
        <w:t>
      Фактическая дата прекращения договора о залоге ранее даты договора о залоге и позднее отчетной даты не допускается.</w:t>
      </w:r>
    </w:p>
    <w:bookmarkEnd w:id="200"/>
    <w:bookmarkStart w:name="z216" w:id="201"/>
    <w:p>
      <w:pPr>
        <w:spacing w:after="0"/>
        <w:ind w:left="0"/>
        <w:jc w:val="both"/>
      </w:pPr>
      <w:r>
        <w:rPr>
          <w:rFonts w:ascii="Times New Roman"/>
          <w:b w:val="false"/>
          <w:i w:val="false"/>
          <w:color w:val="000000"/>
          <w:sz w:val="28"/>
        </w:rPr>
        <w:t>
      38. Строка 4.1 Таблицы 4 предназначена для классификации обеспечения, предусмотренного договором, по видам в соответствии со справочником "Вид обеспечения".</w:t>
      </w:r>
    </w:p>
    <w:bookmarkEnd w:id="201"/>
    <w:bookmarkStart w:name="z217" w:id="202"/>
    <w:p>
      <w:pPr>
        <w:spacing w:after="0"/>
        <w:ind w:left="0"/>
        <w:jc w:val="both"/>
      </w:pPr>
      <w:r>
        <w:rPr>
          <w:rFonts w:ascii="Times New Roman"/>
          <w:b w:val="false"/>
          <w:i w:val="false"/>
          <w:color w:val="000000"/>
          <w:sz w:val="28"/>
        </w:rPr>
        <w:t>
      39. Строка 4.3 Таблицы 4 предназначена для отражения стоимости обеспечения, рассчитанной в соответствии с залоговой политикой кредитора.</w:t>
      </w:r>
    </w:p>
    <w:bookmarkEnd w:id="202"/>
    <w:bookmarkStart w:name="z218" w:id="203"/>
    <w:p>
      <w:pPr>
        <w:spacing w:after="0"/>
        <w:ind w:left="0"/>
        <w:jc w:val="both"/>
      </w:pPr>
      <w:r>
        <w:rPr>
          <w:rFonts w:ascii="Times New Roman"/>
          <w:b w:val="false"/>
          <w:i w:val="false"/>
          <w:color w:val="000000"/>
          <w:sz w:val="28"/>
        </w:rPr>
        <w:t>
      Строка 4.4 Таблицы 4 предназначена для отражения рыночной стоимости обеспечения до применения дисконтов иных корректировок, исходя из последней на отчетную дату оценки (переоценки).</w:t>
      </w:r>
    </w:p>
    <w:bookmarkEnd w:id="203"/>
    <w:bookmarkStart w:name="z219" w:id="204"/>
    <w:p>
      <w:pPr>
        <w:spacing w:after="0"/>
        <w:ind w:left="0"/>
        <w:jc w:val="both"/>
      </w:pPr>
      <w:r>
        <w:rPr>
          <w:rFonts w:ascii="Times New Roman"/>
          <w:b w:val="false"/>
          <w:i w:val="false"/>
          <w:color w:val="000000"/>
          <w:sz w:val="28"/>
        </w:rPr>
        <w:t>
      Строка 4.5 Таблицы 4 предназначена для отражения номера счета, на котором учитывается стоимость обеспечения.</w:t>
      </w:r>
    </w:p>
    <w:bookmarkEnd w:id="204"/>
    <w:bookmarkStart w:name="z220" w:id="205"/>
    <w:p>
      <w:pPr>
        <w:spacing w:after="0"/>
        <w:ind w:left="0"/>
        <w:jc w:val="both"/>
      </w:pPr>
      <w:r>
        <w:rPr>
          <w:rFonts w:ascii="Times New Roman"/>
          <w:b w:val="false"/>
          <w:i w:val="false"/>
          <w:color w:val="000000"/>
          <w:sz w:val="28"/>
        </w:rPr>
        <w:t>
      Залоговая и рыночная стоимости указываются отдельно по каждому обеспечению в рамках договора о залоге.</w:t>
      </w:r>
    </w:p>
    <w:bookmarkEnd w:id="205"/>
    <w:bookmarkStart w:name="z221" w:id="206"/>
    <w:p>
      <w:pPr>
        <w:spacing w:after="0"/>
        <w:ind w:left="0"/>
        <w:jc w:val="both"/>
      </w:pPr>
      <w:r>
        <w:rPr>
          <w:rFonts w:ascii="Times New Roman"/>
          <w:b w:val="false"/>
          <w:i w:val="false"/>
          <w:color w:val="000000"/>
          <w:sz w:val="28"/>
        </w:rPr>
        <w:t>
      40. Строка 4.6 Таблицы 4 предназначена для отражения места регистрации движимого имущества и местонахождения недвижимого имущества, принятых в обеспечение в соответствии с договором о залоге, и является обязательной для заполнения для всех видов обеспечения, являющегося движимым и недвижимым имуществом.</w:t>
      </w:r>
    </w:p>
    <w:bookmarkEnd w:id="206"/>
    <w:bookmarkStart w:name="z222" w:id="207"/>
    <w:p>
      <w:pPr>
        <w:spacing w:after="0"/>
        <w:ind w:left="0"/>
        <w:jc w:val="both"/>
      </w:pPr>
      <w:r>
        <w:rPr>
          <w:rFonts w:ascii="Times New Roman"/>
          <w:b w:val="false"/>
          <w:i w:val="false"/>
          <w:color w:val="000000"/>
          <w:sz w:val="28"/>
        </w:rPr>
        <w:t>
      41. В строке 4.7 Таблицы 4 для объекта недвижимости указывается кадастровый номер, для транспортных средств – уникальный код транспортного средства (при наличии), для других объектов залогового имущества, оцениваемого на индивидуальной основе – уникальный номер, однозначно идентифицирующий объект, для иных видов обеспечения показатель не передается.</w:t>
      </w:r>
    </w:p>
    <w:bookmarkEnd w:id="207"/>
    <w:bookmarkStart w:name="z223" w:id="208"/>
    <w:p>
      <w:pPr>
        <w:spacing w:after="0"/>
        <w:ind w:left="0"/>
        <w:jc w:val="both"/>
      </w:pPr>
      <w:r>
        <w:rPr>
          <w:rFonts w:ascii="Times New Roman"/>
          <w:b w:val="false"/>
          <w:i w:val="false"/>
          <w:color w:val="000000"/>
          <w:sz w:val="28"/>
        </w:rPr>
        <w:t>
      42. Строка 5 Таблицы 4 и строка 4 Таблицы 5 предназначены для отражения даты, по состоянию на которую учтены сведения об обеспечении.</w:t>
      </w:r>
    </w:p>
    <w:bookmarkEnd w:id="208"/>
    <w:bookmarkStart w:name="z224" w:id="209"/>
    <w:p>
      <w:pPr>
        <w:spacing w:after="0"/>
        <w:ind w:left="0"/>
        <w:jc w:val="both"/>
      </w:pPr>
      <w:r>
        <w:rPr>
          <w:rFonts w:ascii="Times New Roman"/>
          <w:b w:val="false"/>
          <w:i w:val="false"/>
          <w:color w:val="000000"/>
          <w:sz w:val="28"/>
        </w:rPr>
        <w:t>
      43. В строке 1 Таблицы 5 указываются номер и дата договора займа (условного обязательства), по которому соответствующий договор о залоге выступает обеспечением.</w:t>
      </w:r>
    </w:p>
    <w:bookmarkEnd w:id="209"/>
    <w:bookmarkStart w:name="z225" w:id="210"/>
    <w:p>
      <w:pPr>
        <w:spacing w:after="0"/>
        <w:ind w:left="0"/>
        <w:jc w:val="both"/>
      </w:pPr>
      <w:r>
        <w:rPr>
          <w:rFonts w:ascii="Times New Roman"/>
          <w:b w:val="false"/>
          <w:i w:val="false"/>
          <w:color w:val="000000"/>
          <w:sz w:val="28"/>
        </w:rPr>
        <w:t>
      В строке 2 Таблицы 5 указываются номер и дата договора о залоге, выступающего обеспечением по соответствующему договору займа (условного обязательства).</w:t>
      </w:r>
    </w:p>
    <w:bookmarkEnd w:id="210"/>
    <w:bookmarkStart w:name="z226" w:id="211"/>
    <w:p>
      <w:pPr>
        <w:spacing w:after="0"/>
        <w:ind w:left="0"/>
        <w:jc w:val="both"/>
      </w:pPr>
      <w:r>
        <w:rPr>
          <w:rFonts w:ascii="Times New Roman"/>
          <w:b w:val="false"/>
          <w:i w:val="false"/>
          <w:color w:val="000000"/>
          <w:sz w:val="28"/>
        </w:rPr>
        <w:t>
      Кредитор обеспечивает соответствие номера и даты договора займа (условного обязательства) в Таблицах 4 и 5 номеру и дате договора, указанных в отчете о договоре займа (условного обязательства).</w:t>
      </w:r>
    </w:p>
    <w:bookmarkEnd w:id="211"/>
    <w:bookmarkStart w:name="z227" w:id="212"/>
    <w:p>
      <w:pPr>
        <w:spacing w:after="0"/>
        <w:ind w:left="0"/>
        <w:jc w:val="both"/>
      </w:pPr>
      <w:r>
        <w:rPr>
          <w:rFonts w:ascii="Times New Roman"/>
          <w:b w:val="false"/>
          <w:i w:val="false"/>
          <w:color w:val="000000"/>
          <w:sz w:val="28"/>
        </w:rPr>
        <w:t>
      44. Строка 3.1 Таблицы 5 предназначена для отражения доли покрытия займа (условного обязательства) залогом, определенной как отношение стоимости части соответствующего залога, приходящейся на обеспечение соответствующего займа (условного обязательства), к задолженности по этому займу (остатку условного обязательства).</w:t>
      </w:r>
    </w:p>
    <w:bookmarkEnd w:id="212"/>
    <w:bookmarkStart w:name="z228" w:id="213"/>
    <w:p>
      <w:pPr>
        <w:spacing w:after="0"/>
        <w:ind w:left="0"/>
        <w:jc w:val="both"/>
      </w:pPr>
      <w:r>
        <w:rPr>
          <w:rFonts w:ascii="Times New Roman"/>
          <w:b w:val="false"/>
          <w:i w:val="false"/>
          <w:color w:val="000000"/>
          <w:sz w:val="28"/>
        </w:rPr>
        <w:t>
      Строка 3.2 Таблицы 5 предназначена для отражения доли залога, приходящейся на покрытие займа (условного обязательства), определенной как отношение части стоимости соответствующего залога, приходящейся на обеспечение соответствующего займа (условного обязательства), к совокупной стоимости этого залога.</w:t>
      </w:r>
    </w:p>
    <w:bookmarkEnd w:id="213"/>
    <w:bookmarkStart w:name="z229" w:id="214"/>
    <w:p>
      <w:pPr>
        <w:spacing w:after="0"/>
        <w:ind w:left="0"/>
        <w:jc w:val="both"/>
      </w:pPr>
      <w:r>
        <w:rPr>
          <w:rFonts w:ascii="Times New Roman"/>
          <w:b w:val="false"/>
          <w:i w:val="false"/>
          <w:color w:val="000000"/>
          <w:sz w:val="28"/>
        </w:rPr>
        <w:t>
      В качестве стоимости залога используется стоимость обеспечения, включаемая при расчете резервов (провизий), отражаемая в Отчете о провизиях и оценке рисков.</w:t>
      </w:r>
    </w:p>
    <w:bookmarkEnd w:id="214"/>
    <w:bookmarkStart w:name="z230" w:id="215"/>
    <w:p>
      <w:pPr>
        <w:spacing w:after="0"/>
        <w:ind w:left="0"/>
        <w:jc w:val="both"/>
      </w:pPr>
      <w:r>
        <w:rPr>
          <w:rFonts w:ascii="Times New Roman"/>
          <w:b w:val="false"/>
          <w:i w:val="false"/>
          <w:color w:val="000000"/>
          <w:sz w:val="28"/>
        </w:rPr>
        <w:t>
      В качестве задолженности по займу используется балансовая стоимость займа до вычета сформированных против него резервов (провизий), по условным обязательствам используется остаток условного обязательства, учитываемый на внебалансовых счетах.</w:t>
      </w:r>
    </w:p>
    <w:bookmarkEnd w:id="215"/>
    <w:bookmarkStart w:name="z231" w:id="216"/>
    <w:p>
      <w:pPr>
        <w:spacing w:after="0"/>
        <w:ind w:left="0"/>
        <w:jc w:val="both"/>
      </w:pPr>
      <w:r>
        <w:rPr>
          <w:rFonts w:ascii="Times New Roman"/>
          <w:b w:val="false"/>
          <w:i w:val="false"/>
          <w:color w:val="000000"/>
          <w:sz w:val="28"/>
        </w:rPr>
        <w:t>
      Расчет распределенной доли покрытия займа (условного обязательства) залогом и распределенной доли залога, приходящейся на покрытие займа (условного обязательства), проводится при расчете резервов (провизий).</w:t>
      </w:r>
    </w:p>
    <w:bookmarkEnd w:id="216"/>
    <w:bookmarkStart w:name="z232" w:id="217"/>
    <w:p>
      <w:pPr>
        <w:spacing w:after="0"/>
        <w:ind w:left="0"/>
        <w:jc w:val="both"/>
      </w:pPr>
      <w:r>
        <w:rPr>
          <w:rFonts w:ascii="Times New Roman"/>
          <w:b w:val="false"/>
          <w:i w:val="false"/>
          <w:color w:val="000000"/>
          <w:sz w:val="28"/>
        </w:rPr>
        <w:t>
      Показатели в строках 3.1 и 3.2 Таблицы 5 являются обязательными для заполнения при наличии у кредитора соответствующей информации.</w:t>
      </w:r>
    </w:p>
    <w:bookmarkEnd w:id="217"/>
    <w:bookmarkStart w:name="z233" w:id="218"/>
    <w:p>
      <w:pPr>
        <w:spacing w:after="0"/>
        <w:ind w:left="0"/>
        <w:jc w:val="both"/>
      </w:pPr>
      <w:r>
        <w:rPr>
          <w:rFonts w:ascii="Times New Roman"/>
          <w:b w:val="false"/>
          <w:i w:val="false"/>
          <w:color w:val="000000"/>
          <w:sz w:val="28"/>
        </w:rPr>
        <w:t>
      45. При заполнении Таблицы 6 используется справочник "Номера счетов", размещенный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218"/>
    <w:bookmarkStart w:name="z234" w:id="219"/>
    <w:p>
      <w:pPr>
        <w:spacing w:after="0"/>
        <w:ind w:left="0"/>
        <w:jc w:val="both"/>
      </w:pPr>
      <w:r>
        <w:rPr>
          <w:rFonts w:ascii="Times New Roman"/>
          <w:b w:val="false"/>
          <w:i w:val="false"/>
          <w:color w:val="000000"/>
          <w:sz w:val="28"/>
        </w:rPr>
        <w:t>
      46. В Таблице 6 передаются сведения о движении средств за отчетный период, об изменениях и текущем состоянии обязательств по договорам займов и условных обязательств.</w:t>
      </w:r>
    </w:p>
    <w:bookmarkEnd w:id="219"/>
    <w:bookmarkStart w:name="z235" w:id="220"/>
    <w:p>
      <w:pPr>
        <w:spacing w:after="0"/>
        <w:ind w:left="0"/>
        <w:jc w:val="both"/>
      </w:pPr>
      <w:r>
        <w:rPr>
          <w:rFonts w:ascii="Times New Roman"/>
          <w:b w:val="false"/>
          <w:i w:val="false"/>
          <w:color w:val="000000"/>
          <w:sz w:val="28"/>
        </w:rPr>
        <w:t>
      Сведения по показателям Таблицы 6 привязываются к соответствующим договорам займа (условного обязательства) и подлежат актуализации на учетную дату.</w:t>
      </w:r>
    </w:p>
    <w:bookmarkEnd w:id="220"/>
    <w:bookmarkStart w:name="z236" w:id="221"/>
    <w:p>
      <w:pPr>
        <w:spacing w:after="0"/>
        <w:ind w:left="0"/>
        <w:jc w:val="both"/>
      </w:pPr>
      <w:r>
        <w:rPr>
          <w:rFonts w:ascii="Times New Roman"/>
          <w:b w:val="false"/>
          <w:i w:val="false"/>
          <w:color w:val="000000"/>
          <w:sz w:val="28"/>
        </w:rPr>
        <w:t>
      Кредитор обеспечивает соответствие номера и даты договора займа (условного обязательства) в Таблице 6 номеру и дате договора, указанных в отчете о договоре займа (условного обязательства).</w:t>
      </w:r>
    </w:p>
    <w:bookmarkEnd w:id="221"/>
    <w:bookmarkStart w:name="z237" w:id="222"/>
    <w:p>
      <w:pPr>
        <w:spacing w:after="0"/>
        <w:ind w:left="0"/>
        <w:jc w:val="both"/>
      </w:pPr>
      <w:r>
        <w:rPr>
          <w:rFonts w:ascii="Times New Roman"/>
          <w:b w:val="false"/>
          <w:i w:val="false"/>
          <w:color w:val="000000"/>
          <w:sz w:val="28"/>
        </w:rPr>
        <w:t>
      47. В строках 2.5, 2.7, 2.9, 2.12 и 2.14 Таблицы 6 значения выбираются из справочников.</w:t>
      </w:r>
    </w:p>
    <w:bookmarkEnd w:id="222"/>
    <w:bookmarkStart w:name="z238" w:id="223"/>
    <w:p>
      <w:pPr>
        <w:spacing w:after="0"/>
        <w:ind w:left="0"/>
        <w:jc w:val="both"/>
      </w:pPr>
      <w:r>
        <w:rPr>
          <w:rFonts w:ascii="Times New Roman"/>
          <w:b w:val="false"/>
          <w:i w:val="false"/>
          <w:color w:val="000000"/>
          <w:sz w:val="28"/>
        </w:rPr>
        <w:t>
      48. Строки 2.2 Таблицы 6 предназначены для отражения выданной в отчетном периоде суммы займа или использованного лимита по условному обязательству и даты ее выдачи (использования).</w:t>
      </w:r>
    </w:p>
    <w:bookmarkEnd w:id="223"/>
    <w:bookmarkStart w:name="z239" w:id="224"/>
    <w:p>
      <w:pPr>
        <w:spacing w:after="0"/>
        <w:ind w:left="0"/>
        <w:jc w:val="both"/>
      </w:pPr>
      <w:r>
        <w:rPr>
          <w:rFonts w:ascii="Times New Roman"/>
          <w:b w:val="false"/>
          <w:i w:val="false"/>
          <w:color w:val="000000"/>
          <w:sz w:val="28"/>
        </w:rPr>
        <w:t>
      Если в отчетном периоде выдача займа осуществлялась частями, указывается массив сумм частей займа и фактической даты выдачи соответствующей части займа.</w:t>
      </w:r>
    </w:p>
    <w:bookmarkEnd w:id="224"/>
    <w:bookmarkStart w:name="z240" w:id="225"/>
    <w:p>
      <w:pPr>
        <w:spacing w:after="0"/>
        <w:ind w:left="0"/>
        <w:jc w:val="both"/>
      </w:pPr>
      <w:r>
        <w:rPr>
          <w:rFonts w:ascii="Times New Roman"/>
          <w:b w:val="false"/>
          <w:i w:val="false"/>
          <w:color w:val="000000"/>
          <w:sz w:val="28"/>
        </w:rPr>
        <w:t>
      Фактическая дата выдачи ранее даты начала отчетного периода и позднее фактической даты прекращения обязательства или даты окончания отчетного периода является недопустимой.</w:t>
      </w:r>
    </w:p>
    <w:bookmarkEnd w:id="225"/>
    <w:bookmarkStart w:name="z241" w:id="226"/>
    <w:p>
      <w:pPr>
        <w:spacing w:after="0"/>
        <w:ind w:left="0"/>
        <w:jc w:val="both"/>
      </w:pPr>
      <w:r>
        <w:rPr>
          <w:rFonts w:ascii="Times New Roman"/>
          <w:b w:val="false"/>
          <w:i w:val="false"/>
          <w:color w:val="000000"/>
          <w:sz w:val="28"/>
        </w:rPr>
        <w:t>
      По платежным карточкам с предоставленным кредитным лимитом и овердрафтам, по которым выдача займа осуществляется без обращения в отделение кредитора, выданные суммы займа указываются одной суммой без разбивки на части, строка 2.2 Таблицы 6 не заполняется.</w:t>
      </w:r>
    </w:p>
    <w:bookmarkEnd w:id="226"/>
    <w:bookmarkStart w:name="z242" w:id="227"/>
    <w:p>
      <w:pPr>
        <w:spacing w:after="0"/>
        <w:ind w:left="0"/>
        <w:jc w:val="both"/>
      </w:pPr>
      <w:r>
        <w:rPr>
          <w:rFonts w:ascii="Times New Roman"/>
          <w:b w:val="false"/>
          <w:i w:val="false"/>
          <w:color w:val="000000"/>
          <w:sz w:val="28"/>
        </w:rPr>
        <w:t>
      49. В строке 2.3 Таблицы 6 указывается сумма фактически поступивших денежных средств в течение отчетного периода в счет погашения всех обязательств заемщика по данному займу, включая основной долг, вознаграждение, штрафы и пени, комиссии по займу.</w:t>
      </w:r>
    </w:p>
    <w:bookmarkEnd w:id="227"/>
    <w:bookmarkStart w:name="z243" w:id="228"/>
    <w:p>
      <w:pPr>
        <w:spacing w:after="0"/>
        <w:ind w:left="0"/>
        <w:jc w:val="both"/>
      </w:pPr>
      <w:r>
        <w:rPr>
          <w:rFonts w:ascii="Times New Roman"/>
          <w:b w:val="false"/>
          <w:i w:val="false"/>
          <w:color w:val="000000"/>
          <w:sz w:val="28"/>
        </w:rPr>
        <w:t>
      По платежным карточкам с предоставленным кредитным лимитом и овердрафтам указывается валовая сумма поступлений за отчетный период.</w:t>
      </w:r>
    </w:p>
    <w:bookmarkEnd w:id="228"/>
    <w:bookmarkStart w:name="z244" w:id="229"/>
    <w:p>
      <w:pPr>
        <w:spacing w:after="0"/>
        <w:ind w:left="0"/>
        <w:jc w:val="both"/>
      </w:pPr>
      <w:r>
        <w:rPr>
          <w:rFonts w:ascii="Times New Roman"/>
          <w:b w:val="false"/>
          <w:i w:val="false"/>
          <w:color w:val="000000"/>
          <w:sz w:val="28"/>
        </w:rPr>
        <w:t>
      50. Строки 2.4 и 2.5 Таблицы 6 предназначены для отражения сумм непросроченного, просроченного остатков основного долга по займу и номера счета, на котором учитываются суммы, сумм списанного или прощенного остатков основного долга по займу по состоянию на отчетную дату.</w:t>
      </w:r>
    </w:p>
    <w:bookmarkEnd w:id="229"/>
    <w:bookmarkStart w:name="z245" w:id="230"/>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основному долгу за весь период действия договора.</w:t>
      </w:r>
    </w:p>
    <w:bookmarkEnd w:id="230"/>
    <w:bookmarkStart w:name="z246" w:id="231"/>
    <w:p>
      <w:pPr>
        <w:spacing w:after="0"/>
        <w:ind w:left="0"/>
        <w:jc w:val="both"/>
      </w:pPr>
      <w:r>
        <w:rPr>
          <w:rFonts w:ascii="Times New Roman"/>
          <w:b w:val="false"/>
          <w:i w:val="false"/>
          <w:color w:val="000000"/>
          <w:sz w:val="28"/>
        </w:rPr>
        <w:t>
      Для платежных карточек с предоставленным кредитным лимитом освоенная часть лимита указывается по данному показателю, для отражения перерасхода средств по платежной карточке предусмотрено дополнительное поле.</w:t>
      </w:r>
    </w:p>
    <w:bookmarkEnd w:id="231"/>
    <w:bookmarkStart w:name="z247" w:id="232"/>
    <w:p>
      <w:pPr>
        <w:spacing w:after="0"/>
        <w:ind w:left="0"/>
        <w:jc w:val="both"/>
      </w:pPr>
      <w:r>
        <w:rPr>
          <w:rFonts w:ascii="Times New Roman"/>
          <w:b w:val="false"/>
          <w:i w:val="false"/>
          <w:color w:val="000000"/>
          <w:sz w:val="28"/>
        </w:rPr>
        <w:t>
      По показателю "Остаток основного долга (в тенге, в валюте договора)" не допускается отражение отрицательного значения.</w:t>
      </w:r>
    </w:p>
    <w:bookmarkEnd w:id="232"/>
    <w:bookmarkStart w:name="z248" w:id="233"/>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233"/>
    <w:bookmarkStart w:name="z249" w:id="234"/>
    <w:p>
      <w:pPr>
        <w:spacing w:after="0"/>
        <w:ind w:left="0"/>
        <w:jc w:val="both"/>
      </w:pPr>
      <w:r>
        <w:rPr>
          <w:rFonts w:ascii="Times New Roman"/>
          <w:b w:val="false"/>
          <w:i w:val="false"/>
          <w:color w:val="000000"/>
          <w:sz w:val="28"/>
        </w:rPr>
        <w:t>
      51. Строки 2.6 и 2.7 Таблицы 6 предназначены для отражения сумм непогашенного, просроченного остатков начисленного вознаграждения по займу, сумм списанного или прощенного остатков начисленного вознаграждения по займу по состоянию на отчетную дату и номера счета, на котором учитываются суммы.</w:t>
      </w:r>
    </w:p>
    <w:bookmarkEnd w:id="234"/>
    <w:bookmarkStart w:name="z250" w:id="235"/>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начисленному вознаграждению за весь период действия договора.</w:t>
      </w:r>
    </w:p>
    <w:bookmarkEnd w:id="235"/>
    <w:bookmarkStart w:name="z251" w:id="236"/>
    <w:p>
      <w:pPr>
        <w:spacing w:after="0"/>
        <w:ind w:left="0"/>
        <w:jc w:val="both"/>
      </w:pPr>
      <w:r>
        <w:rPr>
          <w:rFonts w:ascii="Times New Roman"/>
          <w:b w:val="false"/>
          <w:i w:val="false"/>
          <w:color w:val="000000"/>
          <w:sz w:val="28"/>
        </w:rPr>
        <w:t>
      Не допускается отражение отрицательного значения по остатку начисленного вознаграждения.</w:t>
      </w:r>
    </w:p>
    <w:bookmarkEnd w:id="236"/>
    <w:bookmarkStart w:name="z252" w:id="237"/>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237"/>
    <w:bookmarkStart w:name="z253" w:id="238"/>
    <w:p>
      <w:pPr>
        <w:spacing w:after="0"/>
        <w:ind w:left="0"/>
        <w:jc w:val="both"/>
      </w:pPr>
      <w:r>
        <w:rPr>
          <w:rFonts w:ascii="Times New Roman"/>
          <w:b w:val="false"/>
          <w:i w:val="false"/>
          <w:color w:val="000000"/>
          <w:sz w:val="28"/>
        </w:rPr>
        <w:t>
      52. Строки 2.8 и 2.9 Таблицы 6 предназначены для отражения суммы условного обязательства по состоянию на отчетную дату и номера счета, на котором учитываются суммы.</w:t>
      </w:r>
    </w:p>
    <w:bookmarkEnd w:id="238"/>
    <w:bookmarkStart w:name="z254" w:id="239"/>
    <w:p>
      <w:pPr>
        <w:spacing w:after="0"/>
        <w:ind w:left="0"/>
        <w:jc w:val="both"/>
      </w:pPr>
      <w:r>
        <w:rPr>
          <w:rFonts w:ascii="Times New Roman"/>
          <w:b w:val="false"/>
          <w:i w:val="false"/>
          <w:color w:val="000000"/>
          <w:sz w:val="28"/>
        </w:rPr>
        <w:t>
      При наличии остатков на двух счетах, второй остаток с соответствующим номером счета указываются в дополнительных полях.</w:t>
      </w:r>
    </w:p>
    <w:bookmarkEnd w:id="239"/>
    <w:bookmarkStart w:name="z255" w:id="240"/>
    <w:p>
      <w:pPr>
        <w:spacing w:after="0"/>
        <w:ind w:left="0"/>
        <w:jc w:val="both"/>
      </w:pPr>
      <w:r>
        <w:rPr>
          <w:rFonts w:ascii="Times New Roman"/>
          <w:b w:val="false"/>
          <w:i w:val="false"/>
          <w:color w:val="000000"/>
          <w:sz w:val="28"/>
        </w:rPr>
        <w:t>
      Не допускается отражение отрицательного значения по остатку условного обязательства.</w:t>
      </w:r>
    </w:p>
    <w:bookmarkEnd w:id="240"/>
    <w:bookmarkStart w:name="z256" w:id="241"/>
    <w:p>
      <w:pPr>
        <w:spacing w:after="0"/>
        <w:ind w:left="0"/>
        <w:jc w:val="both"/>
      </w:pPr>
      <w:r>
        <w:rPr>
          <w:rFonts w:ascii="Times New Roman"/>
          <w:b w:val="false"/>
          <w:i w:val="false"/>
          <w:color w:val="000000"/>
          <w:sz w:val="28"/>
        </w:rPr>
        <w:t>
      Показатели являются обязательными для заполнения для всех условных обязательств.</w:t>
      </w:r>
    </w:p>
    <w:bookmarkEnd w:id="241"/>
    <w:bookmarkStart w:name="z257" w:id="242"/>
    <w:p>
      <w:pPr>
        <w:spacing w:after="0"/>
        <w:ind w:left="0"/>
        <w:jc w:val="both"/>
      </w:pPr>
      <w:r>
        <w:rPr>
          <w:rFonts w:ascii="Times New Roman"/>
          <w:b w:val="false"/>
          <w:i w:val="false"/>
          <w:color w:val="000000"/>
          <w:sz w:val="28"/>
        </w:rPr>
        <w:t>
      53. Строка 2.10 Таблицы 6 предназначена для отражения суммы непогашенного остатка, сумм списанного или прощенного остатков начисленной неустойки (штрафа, пени) по займу по состоянию на отчетную дату.</w:t>
      </w:r>
    </w:p>
    <w:bookmarkEnd w:id="242"/>
    <w:bookmarkStart w:name="z258" w:id="243"/>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начисленной неустойке за весь период действия договора.</w:t>
      </w:r>
    </w:p>
    <w:bookmarkEnd w:id="243"/>
    <w:bookmarkStart w:name="z259" w:id="244"/>
    <w:p>
      <w:pPr>
        <w:spacing w:after="0"/>
        <w:ind w:left="0"/>
        <w:jc w:val="both"/>
      </w:pPr>
      <w:r>
        <w:rPr>
          <w:rFonts w:ascii="Times New Roman"/>
          <w:b w:val="false"/>
          <w:i w:val="false"/>
          <w:color w:val="000000"/>
          <w:sz w:val="28"/>
        </w:rPr>
        <w:t>
      По показателю "Остаток начисленной неустойки (штрафа, пени)" не допускается отражение отрицательного значения.</w:t>
      </w:r>
    </w:p>
    <w:bookmarkEnd w:id="244"/>
    <w:bookmarkStart w:name="z260" w:id="245"/>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245"/>
    <w:bookmarkStart w:name="z261" w:id="246"/>
    <w:p>
      <w:pPr>
        <w:spacing w:after="0"/>
        <w:ind w:left="0"/>
        <w:jc w:val="both"/>
      </w:pPr>
      <w:r>
        <w:rPr>
          <w:rFonts w:ascii="Times New Roman"/>
          <w:b w:val="false"/>
          <w:i w:val="false"/>
          <w:color w:val="000000"/>
          <w:sz w:val="28"/>
        </w:rPr>
        <w:t>
      54. Строки 2.11, 2.12, 2.13 и 2.14 Таблицы 6 предназначены для отражения сумм положительной (отрицательной) корректировки, дисконта (премии) по займу (условному обязательству) по состоянию на отчетную дату и номера счета, на котором учитываются суммы.</w:t>
      </w:r>
    </w:p>
    <w:bookmarkEnd w:id="246"/>
    <w:bookmarkStart w:name="z262" w:id="247"/>
    <w:p>
      <w:pPr>
        <w:spacing w:after="0"/>
        <w:ind w:left="0"/>
        <w:jc w:val="both"/>
      </w:pPr>
      <w:r>
        <w:rPr>
          <w:rFonts w:ascii="Times New Roman"/>
          <w:b w:val="false"/>
          <w:i w:val="false"/>
          <w:color w:val="000000"/>
          <w:sz w:val="28"/>
        </w:rPr>
        <w:t>
      При наличии сумм дисконта (премии) по одному займу (условному обязательству) на двух разных номерах счетов, второй остаток с соответствующим номером счета указываются в дополнительных полях.</w:t>
      </w:r>
    </w:p>
    <w:bookmarkEnd w:id="247"/>
    <w:bookmarkStart w:name="z263" w:id="248"/>
    <w:p>
      <w:pPr>
        <w:spacing w:after="0"/>
        <w:ind w:left="0"/>
        <w:jc w:val="both"/>
      </w:pPr>
      <w:r>
        <w:rPr>
          <w:rFonts w:ascii="Times New Roman"/>
          <w:b w:val="false"/>
          <w:i w:val="false"/>
          <w:color w:val="000000"/>
          <w:sz w:val="28"/>
        </w:rPr>
        <w:t>
      55. В строке 2.15 Таблицы 6 даты вынесения на счет просроченной задолженности по основному долгу и вознаграждению указываются отдельно в полях "Дата вынесения на счет просроченной задолженности: по основному долгу" и "Дата вынесения на счет просроченной задолженности: по вознаграждению".</w:t>
      </w:r>
    </w:p>
    <w:bookmarkEnd w:id="248"/>
    <w:bookmarkStart w:name="z264" w:id="249"/>
    <w:p>
      <w:pPr>
        <w:spacing w:after="0"/>
        <w:ind w:left="0"/>
        <w:jc w:val="both"/>
      </w:pPr>
      <w:r>
        <w:rPr>
          <w:rFonts w:ascii="Times New Roman"/>
          <w:b w:val="false"/>
          <w:i w:val="false"/>
          <w:color w:val="000000"/>
          <w:sz w:val="28"/>
        </w:rPr>
        <w:t>
      В качестве даты вынесения на счет просроченной задолженности указывается дата, с которой нарушается установленный договором срок погашения очередного непогашенного платежа по основному долгу и (или) вознаграждению.</w:t>
      </w:r>
    </w:p>
    <w:bookmarkEnd w:id="249"/>
    <w:bookmarkStart w:name="z265" w:id="250"/>
    <w:p>
      <w:pPr>
        <w:spacing w:after="0"/>
        <w:ind w:left="0"/>
        <w:jc w:val="both"/>
      </w:pPr>
      <w:r>
        <w:rPr>
          <w:rFonts w:ascii="Times New Roman"/>
          <w:b w:val="false"/>
          <w:i w:val="false"/>
          <w:color w:val="000000"/>
          <w:sz w:val="28"/>
        </w:rPr>
        <w:t>
      При отсутствии остатка просроченной задолженности по основному долгу и (или) вознаграждению, числящегося на балансе или списанного с баланса, дата вынесения на счет просроченной задолженности по основному долгу и (или) вознаграждению не указывается.</w:t>
      </w:r>
    </w:p>
    <w:bookmarkEnd w:id="250"/>
    <w:bookmarkStart w:name="z266" w:id="251"/>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на отчетную дату имеется остаток просроченной задолженности по основному долгу и (или) вознаграждению, числящийся на балансе или списанный с баланса.</w:t>
      </w:r>
    </w:p>
    <w:bookmarkEnd w:id="251"/>
    <w:bookmarkStart w:name="z267" w:id="252"/>
    <w:p>
      <w:pPr>
        <w:spacing w:after="0"/>
        <w:ind w:left="0"/>
        <w:jc w:val="both"/>
      </w:pPr>
      <w:r>
        <w:rPr>
          <w:rFonts w:ascii="Times New Roman"/>
          <w:b w:val="false"/>
          <w:i w:val="false"/>
          <w:color w:val="000000"/>
          <w:sz w:val="28"/>
        </w:rPr>
        <w:t>
      56. В строке 2.16 Таблицы 6 указывается дата полного или частичного погашения просроченной задолженности по основному долгу и (или) вознаграждению, произведенного в течение отчетного периода.</w:t>
      </w:r>
    </w:p>
    <w:bookmarkEnd w:id="252"/>
    <w:bookmarkStart w:name="z268" w:id="253"/>
    <w:p>
      <w:pPr>
        <w:spacing w:after="0"/>
        <w:ind w:left="0"/>
        <w:jc w:val="both"/>
      </w:pPr>
      <w:r>
        <w:rPr>
          <w:rFonts w:ascii="Times New Roman"/>
          <w:b w:val="false"/>
          <w:i w:val="false"/>
          <w:color w:val="000000"/>
          <w:sz w:val="28"/>
        </w:rPr>
        <w:t>
      57. Строка 3 Таблицы 6 предназначена для идентификации займов, по которым в отчетном периоде проведена реструктуризация, с отражением даты их проведения.</w:t>
      </w:r>
    </w:p>
    <w:bookmarkEnd w:id="253"/>
    <w:bookmarkStart w:name="z269" w:id="254"/>
    <w:p>
      <w:pPr>
        <w:spacing w:after="0"/>
        <w:ind w:left="0"/>
        <w:jc w:val="both"/>
      </w:pPr>
      <w:r>
        <w:rPr>
          <w:rFonts w:ascii="Times New Roman"/>
          <w:b w:val="false"/>
          <w:i w:val="false"/>
          <w:color w:val="000000"/>
          <w:sz w:val="28"/>
        </w:rPr>
        <w:t xml:space="preserve">
      Реструктуризация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зарегистрированным в Реестре государственной регистрации нормативных правовых актов под № 16502 (далее – постановление № 269).</w:t>
      </w:r>
    </w:p>
    <w:bookmarkEnd w:id="254"/>
    <w:bookmarkStart w:name="z270" w:id="255"/>
    <w:p>
      <w:pPr>
        <w:spacing w:after="0"/>
        <w:ind w:left="0"/>
        <w:jc w:val="both"/>
      </w:pPr>
      <w:r>
        <w:rPr>
          <w:rFonts w:ascii="Times New Roman"/>
          <w:b w:val="false"/>
          <w:i w:val="false"/>
          <w:color w:val="000000"/>
          <w:sz w:val="28"/>
        </w:rPr>
        <w:t>
      Если заем был реструктурирован путем заключения нового договора займа, сведения о реструктуризации указываются в новом договоре.</w:t>
      </w:r>
    </w:p>
    <w:bookmarkEnd w:id="255"/>
    <w:bookmarkStart w:name="z271" w:id="256"/>
    <w:p>
      <w:pPr>
        <w:spacing w:after="0"/>
        <w:ind w:left="0"/>
        <w:jc w:val="both"/>
      </w:pPr>
      <w:r>
        <w:rPr>
          <w:rFonts w:ascii="Times New Roman"/>
          <w:b w:val="false"/>
          <w:i w:val="false"/>
          <w:color w:val="000000"/>
          <w:sz w:val="28"/>
        </w:rPr>
        <w:t>
      Если в отчетном периоде проводилась реструктуризация, то в строке 3.1 Таблицы 6 указывается значение "1", в ином случае указывается "0" или показатель не передается.</w:t>
      </w:r>
    </w:p>
    <w:bookmarkEnd w:id="256"/>
    <w:bookmarkStart w:name="z272" w:id="257"/>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в отчетном периоде проведена реструктуризация.</w:t>
      </w:r>
    </w:p>
    <w:bookmarkEnd w:id="257"/>
    <w:bookmarkStart w:name="z273" w:id="258"/>
    <w:p>
      <w:pPr>
        <w:spacing w:after="0"/>
        <w:ind w:left="0"/>
        <w:jc w:val="both"/>
      </w:pPr>
      <w:r>
        <w:rPr>
          <w:rFonts w:ascii="Times New Roman"/>
          <w:b w:val="false"/>
          <w:i w:val="false"/>
          <w:color w:val="000000"/>
          <w:sz w:val="28"/>
        </w:rPr>
        <w:t>
      58. Строка 4 Таблицы 6 предназначена для отражения даты, по состоянию на которую учтены сведения об обслуживании займа (условного обязательства).</w:t>
      </w:r>
    </w:p>
    <w:bookmarkEnd w:id="258"/>
    <w:bookmarkStart w:name="z274" w:id="259"/>
    <w:p>
      <w:pPr>
        <w:spacing w:after="0"/>
        <w:ind w:left="0"/>
        <w:jc w:val="both"/>
      </w:pPr>
      <w:r>
        <w:rPr>
          <w:rFonts w:ascii="Times New Roman"/>
          <w:b w:val="false"/>
          <w:i w:val="false"/>
          <w:color w:val="000000"/>
          <w:sz w:val="28"/>
        </w:rPr>
        <w:t>
      59. При заполнении Таблицы 7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259"/>
    <w:bookmarkStart w:name="z275" w:id="260"/>
    <w:p>
      <w:pPr>
        <w:spacing w:after="0"/>
        <w:ind w:left="0"/>
        <w:jc w:val="both"/>
      </w:pPr>
      <w:r>
        <w:rPr>
          <w:rFonts w:ascii="Times New Roman"/>
          <w:b w:val="false"/>
          <w:i w:val="false"/>
          <w:color w:val="000000"/>
          <w:sz w:val="28"/>
        </w:rPr>
        <w:t>
      Номера счетов;</w:t>
      </w:r>
    </w:p>
    <w:bookmarkEnd w:id="260"/>
    <w:bookmarkStart w:name="z276" w:id="261"/>
    <w:p>
      <w:pPr>
        <w:spacing w:after="0"/>
        <w:ind w:left="0"/>
        <w:jc w:val="both"/>
      </w:pPr>
      <w:r>
        <w:rPr>
          <w:rFonts w:ascii="Times New Roman"/>
          <w:b w:val="false"/>
          <w:i w:val="false"/>
          <w:color w:val="000000"/>
          <w:sz w:val="28"/>
        </w:rPr>
        <w:t>
      Стадии кредитного риска.</w:t>
      </w:r>
    </w:p>
    <w:bookmarkEnd w:id="261"/>
    <w:bookmarkStart w:name="z277" w:id="262"/>
    <w:p>
      <w:pPr>
        <w:spacing w:after="0"/>
        <w:ind w:left="0"/>
        <w:jc w:val="both"/>
      </w:pPr>
      <w:r>
        <w:rPr>
          <w:rFonts w:ascii="Times New Roman"/>
          <w:b w:val="false"/>
          <w:i w:val="false"/>
          <w:color w:val="000000"/>
          <w:sz w:val="28"/>
        </w:rPr>
        <w:t>
      60. В Таблице 7 передаются сведения о резервах (провизиях), сформированных по требованиям международных стандартов финансовой отчетности, в разрезе договоров займов (условных обязательств), классифицированных кредитором как индивидуальные, однородные или индивидуальные активы без признаков обесценения, о метриках и характеристиках, необходимых для оценки рисков по займам и условным обязательствам, для оценки рисков по обеспечению.</w:t>
      </w:r>
    </w:p>
    <w:bookmarkEnd w:id="262"/>
    <w:bookmarkStart w:name="z278" w:id="263"/>
    <w:p>
      <w:pPr>
        <w:spacing w:after="0"/>
        <w:ind w:left="0"/>
        <w:jc w:val="both"/>
      </w:pPr>
      <w:r>
        <w:rPr>
          <w:rFonts w:ascii="Times New Roman"/>
          <w:b w:val="false"/>
          <w:i w:val="false"/>
          <w:color w:val="000000"/>
          <w:sz w:val="28"/>
        </w:rPr>
        <w:t>
      Сведения по показателям Таблицы 7 привязываются к соответствующим договорам займа (условного обязательства) и подлежат актуализации на учетную дату.</w:t>
      </w:r>
    </w:p>
    <w:bookmarkEnd w:id="263"/>
    <w:bookmarkStart w:name="z279" w:id="264"/>
    <w:p>
      <w:pPr>
        <w:spacing w:after="0"/>
        <w:ind w:left="0"/>
        <w:jc w:val="both"/>
      </w:pPr>
      <w:r>
        <w:rPr>
          <w:rFonts w:ascii="Times New Roman"/>
          <w:b w:val="false"/>
          <w:i w:val="false"/>
          <w:color w:val="000000"/>
          <w:sz w:val="28"/>
        </w:rPr>
        <w:t>
      Кредитор обеспечивает соответствие номера и даты договора займа (условного обязательства) в Таблице 7 номеру и дате договора, указанных в отчете о договоре займа (условного обязательства).</w:t>
      </w:r>
    </w:p>
    <w:bookmarkEnd w:id="264"/>
    <w:bookmarkStart w:name="z280" w:id="265"/>
    <w:p>
      <w:pPr>
        <w:spacing w:after="0"/>
        <w:ind w:left="0"/>
        <w:jc w:val="both"/>
      </w:pPr>
      <w:r>
        <w:rPr>
          <w:rFonts w:ascii="Times New Roman"/>
          <w:b w:val="false"/>
          <w:i w:val="false"/>
          <w:color w:val="000000"/>
          <w:sz w:val="28"/>
        </w:rPr>
        <w:t>
      61. В строках 2.2, 2.3 Таблицы 7 значения выбираются из справочников.</w:t>
      </w:r>
    </w:p>
    <w:bookmarkEnd w:id="265"/>
    <w:bookmarkStart w:name="z281" w:id="266"/>
    <w:p>
      <w:pPr>
        <w:spacing w:after="0"/>
        <w:ind w:left="0"/>
        <w:jc w:val="both"/>
      </w:pPr>
      <w:r>
        <w:rPr>
          <w:rFonts w:ascii="Times New Roman"/>
          <w:b w:val="false"/>
          <w:i w:val="false"/>
          <w:color w:val="000000"/>
          <w:sz w:val="28"/>
        </w:rPr>
        <w:t>
      62. Строки 2.1 и 2.2 Таблицы 7 предназначены для отражения суммы резервов (провизий) по займу (условному обязательству), сформированной по требованиям международных стандартов финансовой отчетности, по состоянию на отчетную дату и номера счета, на котором учитывается сумма, суммы резервов (провизий) по требованиям уполномоченного органа.</w:t>
      </w:r>
    </w:p>
    <w:bookmarkEnd w:id="266"/>
    <w:bookmarkStart w:name="z282" w:id="267"/>
    <w:p>
      <w:pPr>
        <w:spacing w:after="0"/>
        <w:ind w:left="0"/>
        <w:jc w:val="both"/>
      </w:pPr>
      <w:r>
        <w:rPr>
          <w:rFonts w:ascii="Times New Roman"/>
          <w:b w:val="false"/>
          <w:i w:val="false"/>
          <w:color w:val="000000"/>
          <w:sz w:val="28"/>
        </w:rPr>
        <w:t>
      По платежным карточкам с постоянным кредитным лимитом, установленным договором выпуска платежной карточки, для отражения сумм резервов (провизий) по освоенной и неосвоенной частям кредитного лимита предусмотрены отдельные поля.</w:t>
      </w:r>
    </w:p>
    <w:bookmarkEnd w:id="267"/>
    <w:bookmarkStart w:name="z283" w:id="268"/>
    <w:p>
      <w:pPr>
        <w:spacing w:after="0"/>
        <w:ind w:left="0"/>
        <w:jc w:val="both"/>
      </w:pPr>
      <w:r>
        <w:rPr>
          <w:rFonts w:ascii="Times New Roman"/>
          <w:b w:val="false"/>
          <w:i w:val="false"/>
          <w:color w:val="000000"/>
          <w:sz w:val="28"/>
        </w:rPr>
        <w:t>
      63. В строке 2.3 Таблицы 7 значение показателя определяется в соответствии с постановлением № 269.</w:t>
      </w:r>
    </w:p>
    <w:bookmarkEnd w:id="268"/>
    <w:bookmarkStart w:name="z284" w:id="269"/>
    <w:p>
      <w:pPr>
        <w:spacing w:after="0"/>
        <w:ind w:left="0"/>
        <w:jc w:val="both"/>
      </w:pPr>
      <w:r>
        <w:rPr>
          <w:rFonts w:ascii="Times New Roman"/>
          <w:b w:val="false"/>
          <w:i w:val="false"/>
          <w:color w:val="000000"/>
          <w:sz w:val="28"/>
        </w:rPr>
        <w:t>
      64. Строке 3 Таблицы 7 предназначена для отражения даты, по состоянию на которую учтены сведения о провизиях и оценке рисков.</w:t>
      </w:r>
    </w:p>
    <w:bookmarkEnd w:id="269"/>
    <w:bookmarkStart w:name="z285" w:id="270"/>
    <w:p>
      <w:pPr>
        <w:spacing w:after="0"/>
        <w:ind w:left="0"/>
        <w:jc w:val="both"/>
      </w:pPr>
      <w:r>
        <w:rPr>
          <w:rFonts w:ascii="Times New Roman"/>
          <w:b w:val="false"/>
          <w:i w:val="false"/>
          <w:color w:val="000000"/>
          <w:sz w:val="28"/>
        </w:rPr>
        <w:t>
      65. В строке 1 Таблицы 8 указываются номер и дата договора займа (условного обязательства), по которому проводятся мероприятия дочерней организацией, приобретающей сомнительные и безнадежные активы родительского банка, в отношении актива, в том числе связанных с их улучшением.</w:t>
      </w:r>
    </w:p>
    <w:bookmarkEnd w:id="270"/>
    <w:bookmarkStart w:name="z286" w:id="271"/>
    <w:p>
      <w:pPr>
        <w:spacing w:after="0"/>
        <w:ind w:left="0"/>
        <w:jc w:val="both"/>
      </w:pPr>
      <w:r>
        <w:rPr>
          <w:rFonts w:ascii="Times New Roman"/>
          <w:b w:val="false"/>
          <w:i w:val="false"/>
          <w:color w:val="000000"/>
          <w:sz w:val="28"/>
        </w:rPr>
        <w:t>
      66. В строке 2 Таблицы 8 указывается сумма, направленная банком и (или) дочерней организацией, приобретающей сомнительные и безнадежные активы родительского банка, на улучшение актива (права требования) в отчетный период.</w:t>
      </w:r>
    </w:p>
    <w:bookmarkEnd w:id="271"/>
    <w:bookmarkStart w:name="z287" w:id="272"/>
    <w:p>
      <w:pPr>
        <w:spacing w:after="0"/>
        <w:ind w:left="0"/>
        <w:jc w:val="both"/>
      </w:pPr>
      <w:r>
        <w:rPr>
          <w:rFonts w:ascii="Times New Roman"/>
          <w:b w:val="false"/>
          <w:i w:val="false"/>
          <w:color w:val="000000"/>
          <w:sz w:val="28"/>
        </w:rPr>
        <w:t>
      67. В строке 3 Таблицы 8 указывается сумма фактического притока денежных средств в дочернюю организацию, приобретающую сомнительные и безнадежные активы родительского банка, связанного с управлением актива в виде прав требования за отчетный период.</w:t>
      </w:r>
    </w:p>
    <w:bookmarkEnd w:id="272"/>
    <w:bookmarkStart w:name="z288" w:id="273"/>
    <w:p>
      <w:pPr>
        <w:spacing w:after="0"/>
        <w:ind w:left="0"/>
        <w:jc w:val="both"/>
      </w:pPr>
      <w:r>
        <w:rPr>
          <w:rFonts w:ascii="Times New Roman"/>
          <w:b w:val="false"/>
          <w:i w:val="false"/>
          <w:color w:val="000000"/>
          <w:sz w:val="28"/>
        </w:rPr>
        <w:t>
      68. В строке 4 Таблицы 8 указывается сумма платежей, произведенных дочерней организацией, приобретающей сомнительные и безнадежные активы родительского банка, в пользу родительского банка в счет погашения задолженности по данному активу (праву требования). Данные предоставляются за отчетный период.</w:t>
      </w:r>
    </w:p>
    <w:bookmarkEnd w:id="273"/>
    <w:bookmarkStart w:name="z289" w:id="274"/>
    <w:p>
      <w:pPr>
        <w:spacing w:after="0"/>
        <w:ind w:left="0"/>
        <w:jc w:val="both"/>
      </w:pPr>
      <w:r>
        <w:rPr>
          <w:rFonts w:ascii="Times New Roman"/>
          <w:b w:val="false"/>
          <w:i w:val="false"/>
          <w:color w:val="000000"/>
          <w:sz w:val="28"/>
        </w:rPr>
        <w:t>
      69. В строке 5 Таблицы 8 указываются мероприятия, проведенные дочерней организацией, приобретающей сомнительные и безнадежные активы родительского банка, в отношении актива (права требования), в том числе связанные с его улучшением, за отчетный период управления.</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293" w:id="27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75"/>
    <w:bookmarkStart w:name="z294" w:id="27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76"/>
    <w:bookmarkStart w:name="z295" w:id="277"/>
    <w:p>
      <w:pPr>
        <w:spacing w:after="0"/>
        <w:ind w:left="0"/>
        <w:jc w:val="both"/>
      </w:pPr>
      <w:r>
        <w:rPr>
          <w:rFonts w:ascii="Times New Roman"/>
          <w:b w:val="false"/>
          <w:i w:val="false"/>
          <w:color w:val="000000"/>
          <w:sz w:val="28"/>
        </w:rPr>
        <w:t>
      Наименование административной формы: Отчет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приобретенному имуществу (далее – ОУСА)</w:t>
      </w:r>
    </w:p>
    <w:bookmarkEnd w:id="277"/>
    <w:bookmarkStart w:name="z296" w:id="27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OUSA_02</w:t>
      </w:r>
    </w:p>
    <w:bookmarkEnd w:id="278"/>
    <w:bookmarkStart w:name="z297" w:id="279"/>
    <w:p>
      <w:pPr>
        <w:spacing w:after="0"/>
        <w:ind w:left="0"/>
        <w:jc w:val="both"/>
      </w:pPr>
      <w:r>
        <w:rPr>
          <w:rFonts w:ascii="Times New Roman"/>
          <w:b w:val="false"/>
          <w:i w:val="false"/>
          <w:color w:val="000000"/>
          <w:sz w:val="28"/>
        </w:rPr>
        <w:t>
      Периодичность: ежеквартальная</w:t>
      </w:r>
    </w:p>
    <w:bookmarkEnd w:id="279"/>
    <w:bookmarkStart w:name="z298" w:id="280"/>
    <w:p>
      <w:pPr>
        <w:spacing w:after="0"/>
        <w:ind w:left="0"/>
        <w:jc w:val="both"/>
      </w:pPr>
      <w:r>
        <w:rPr>
          <w:rFonts w:ascii="Times New Roman"/>
          <w:b w:val="false"/>
          <w:i w:val="false"/>
          <w:color w:val="000000"/>
          <w:sz w:val="28"/>
        </w:rPr>
        <w:t>
      Отчетный период: по состоянию на "___" "______________" 20__ года</w:t>
      </w:r>
    </w:p>
    <w:bookmarkEnd w:id="280"/>
    <w:bookmarkStart w:name="z299" w:id="28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имеющие дочернюю организацию, приобретающую сомнительные и безнадежные активы родительского банка</w:t>
      </w:r>
    </w:p>
    <w:bookmarkEnd w:id="281"/>
    <w:bookmarkStart w:name="z300" w:id="28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30 (тридцати) календарных дней, следующих за отчетным кварталом</w:t>
      </w:r>
    </w:p>
    <w:bookmarkEnd w:id="282"/>
    <w:bookmarkStart w:name="z301" w:id="283"/>
    <w:p>
      <w:pPr>
        <w:spacing w:after="0"/>
        <w:ind w:left="0"/>
        <w:jc w:val="both"/>
      </w:pPr>
      <w:r>
        <w:rPr>
          <w:rFonts w:ascii="Times New Roman"/>
          <w:b w:val="false"/>
          <w:i w:val="false"/>
          <w:color w:val="000000"/>
          <w:sz w:val="28"/>
        </w:rPr>
        <w:t>
      БИН: _______________________</w:t>
      </w:r>
    </w:p>
    <w:bookmarkEnd w:id="283"/>
    <w:bookmarkStart w:name="z302" w:id="284"/>
    <w:p>
      <w:pPr>
        <w:spacing w:after="0"/>
        <w:ind w:left="0"/>
        <w:jc w:val="both"/>
      </w:pPr>
      <w:r>
        <w:rPr>
          <w:rFonts w:ascii="Times New Roman"/>
          <w:b w:val="false"/>
          <w:i w:val="false"/>
          <w:color w:val="000000"/>
          <w:sz w:val="28"/>
        </w:rPr>
        <w:t>
      Метод сбора: в электронном виде</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передавшего сомнительный и безнадежный актив в ОУСА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ОУСА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(по правам требования которого принято на баланс имущество)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клиента/ заемщика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кредитной линии/ банковского займа (по которому принят данный залог)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займов на дату принятия имущества на баланс банка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 на балансе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Просроченный основной долг на балансе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на балансе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начисленное вознаграждение на балансе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и другое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на балансе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 w:id="285"/>
    <w:p>
      <w:pPr>
        <w:spacing w:after="0"/>
        <w:ind w:left="0"/>
        <w:jc w:val="both"/>
      </w:pPr>
      <w:r>
        <w:rPr>
          <w:rFonts w:ascii="Times New Roman"/>
          <w:b w:val="false"/>
          <w:i w:val="false"/>
          <w:color w:val="000000"/>
          <w:sz w:val="28"/>
        </w:rPr>
        <w:t>
      продолжение таблицы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имущества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актива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принятия на баланс ОУСА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принятия имущества на баланс Банка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фактической передачи актива на баланс ОУСА (либо дату самостоятельного приобретения)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передачи сомнительного и безнадежного актива в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актива на момент передачи в ОУСА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на балансе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 на балансе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займа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абсолютном значении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 w:id="286"/>
    <w:p>
      <w:pPr>
        <w:spacing w:after="0"/>
        <w:ind w:left="0"/>
        <w:jc w:val="both"/>
      </w:pPr>
      <w:r>
        <w:rPr>
          <w:rFonts w:ascii="Times New Roman"/>
          <w:b w:val="false"/>
          <w:i w:val="false"/>
          <w:color w:val="000000"/>
          <w:sz w:val="28"/>
        </w:rPr>
        <w:t>
      продолжение таблицы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стоимость передачи имущества в ОУСА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актива на отчетную дату на балансе ОУСА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актива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актива (стоимость и дату 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выданная родительским банком по договору (при необходимости указать распределенную стоимость)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сумма дисконта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площадь на момент передачи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площадь на отчетную дату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(при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оценке независимой оценочной компании (НОК)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оценки НОК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внутренней оценке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внутренней оценки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номер и дата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актива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 w:id="287"/>
    <w:p>
      <w:pPr>
        <w:spacing w:after="0"/>
        <w:ind w:left="0"/>
        <w:jc w:val="both"/>
      </w:pPr>
      <w:r>
        <w:rPr>
          <w:rFonts w:ascii="Times New Roman"/>
          <w:b w:val="false"/>
          <w:i w:val="false"/>
          <w:color w:val="000000"/>
          <w:sz w:val="28"/>
        </w:rPr>
        <w:t>
      продолжение таблицы</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дебиторской задолженности, связанной с передачей актива в ОУСА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ОУСА задолженности перед родительским банком по Плану мероприятий/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погашения ОУСА задолженности перед родительским банком по Плану мероприятий/Договору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погашения вознаграждения по займу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платежей, произведенных в пользу родительского банка в счет погашения задолженности по данному активу</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улучшение актива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актива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актива</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Основного долга по займу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Дебиторской задолженности</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весь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288"/>
    <w:p>
      <w:pPr>
        <w:spacing w:after="0"/>
        <w:ind w:left="0"/>
        <w:jc w:val="both"/>
      </w:pPr>
      <w:r>
        <w:rPr>
          <w:rFonts w:ascii="Times New Roman"/>
          <w:b w:val="false"/>
          <w:i w:val="false"/>
          <w:color w:val="000000"/>
          <w:sz w:val="28"/>
        </w:rPr>
        <w:t>
      продолжение таблицы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мероприятия, проведенные ОУСА в отношении актива, в т.ч. связанных с их улучшением за весь период управления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приток денежных средств от управления активом за весь период управления ОУСА (ОДДС)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сдачи в аренду недвижимого имущества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289"/>
    <w:p>
      <w:pPr>
        <w:spacing w:after="0"/>
        <w:ind w:left="0"/>
        <w:jc w:val="both"/>
      </w:pPr>
      <w:r>
        <w:rPr>
          <w:rFonts w:ascii="Times New Roman"/>
          <w:b w:val="false"/>
          <w:i w:val="false"/>
          <w:color w:val="000000"/>
          <w:sz w:val="28"/>
        </w:rPr>
        <w:t>
      продолжение таблицы</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отток денежных средств (ОДДС)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имущества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ремонтные работы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290"/>
    <w:p>
      <w:pPr>
        <w:spacing w:after="0"/>
        <w:ind w:left="0"/>
        <w:jc w:val="both"/>
      </w:pPr>
      <w:r>
        <w:rPr>
          <w:rFonts w:ascii="Times New Roman"/>
          <w:b w:val="false"/>
          <w:i w:val="false"/>
          <w:color w:val="000000"/>
          <w:sz w:val="28"/>
        </w:rPr>
        <w:t>
      продолжение таблицы</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строительство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 расходы (з/п, связь, интернет, содерж. офиса)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291"/>
    <w:p>
      <w:pPr>
        <w:spacing w:after="0"/>
        <w:ind w:left="0"/>
        <w:jc w:val="both"/>
      </w:pPr>
      <w:r>
        <w:rPr>
          <w:rFonts w:ascii="Times New Roman"/>
          <w:b w:val="false"/>
          <w:i w:val="false"/>
          <w:color w:val="000000"/>
          <w:sz w:val="28"/>
        </w:rPr>
        <w:t>
      продолжение таблицы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приток/отток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1" w:id="292"/>
      <w:r>
        <w:rPr>
          <w:rFonts w:ascii="Times New Roman"/>
          <w:b w:val="false"/>
          <w:i w:val="false"/>
          <w:color w:val="000000"/>
          <w:sz w:val="28"/>
        </w:rPr>
        <w:t>
      Наименование _________________________________________________</w:t>
      </w:r>
    </w:p>
    <w:bookmarkEnd w:id="292"/>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312" w:id="29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приобретенному имуществу".</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имуществе,</w:t>
            </w:r>
            <w:r>
              <w:br/>
            </w:r>
            <w:r>
              <w:rPr>
                <w:rFonts w:ascii="Times New Roman"/>
                <w:b w:val="false"/>
                <w:i w:val="false"/>
                <w:color w:val="000000"/>
                <w:sz w:val="20"/>
              </w:rPr>
              <w:t>переданном дочерней</w:t>
            </w:r>
            <w:r>
              <w:br/>
            </w:r>
            <w:r>
              <w:rPr>
                <w:rFonts w:ascii="Times New Roman"/>
                <w:b w:val="false"/>
                <w:i w:val="false"/>
                <w:color w:val="000000"/>
                <w:sz w:val="20"/>
              </w:rPr>
              <w:t>организации, приобретающей</w:t>
            </w:r>
            <w:r>
              <w:br/>
            </w:r>
            <w:r>
              <w:rPr>
                <w:rFonts w:ascii="Times New Roman"/>
                <w:b w:val="false"/>
                <w:i w:val="false"/>
                <w:color w:val="000000"/>
                <w:sz w:val="20"/>
              </w:rPr>
              <w:t>сомнительные и безнадежные</w:t>
            </w:r>
            <w:r>
              <w:br/>
            </w:r>
            <w:r>
              <w:rPr>
                <w:rFonts w:ascii="Times New Roman"/>
                <w:b w:val="false"/>
                <w:i w:val="false"/>
                <w:color w:val="000000"/>
                <w:sz w:val="20"/>
              </w:rPr>
              <w:t>активы родительского банка,</w:t>
            </w:r>
            <w:r>
              <w:br/>
            </w:r>
            <w:r>
              <w:rPr>
                <w:rFonts w:ascii="Times New Roman"/>
                <w:b w:val="false"/>
                <w:i w:val="false"/>
                <w:color w:val="000000"/>
                <w:sz w:val="20"/>
              </w:rPr>
              <w:t>в качестве сомнительного</w:t>
            </w:r>
            <w:r>
              <w:br/>
            </w:r>
            <w:r>
              <w:rPr>
                <w:rFonts w:ascii="Times New Roman"/>
                <w:b w:val="false"/>
                <w:i w:val="false"/>
                <w:color w:val="000000"/>
                <w:sz w:val="20"/>
              </w:rPr>
              <w:t>и безнадежного актива,</w:t>
            </w:r>
            <w:r>
              <w:br/>
            </w:r>
            <w:r>
              <w:rPr>
                <w:rFonts w:ascii="Times New Roman"/>
                <w:b w:val="false"/>
                <w:i w:val="false"/>
                <w:color w:val="000000"/>
                <w:sz w:val="20"/>
              </w:rPr>
              <w:t>и самостоятельно</w:t>
            </w:r>
            <w:r>
              <w:br/>
            </w:r>
            <w:r>
              <w:rPr>
                <w:rFonts w:ascii="Times New Roman"/>
                <w:b w:val="false"/>
                <w:i w:val="false"/>
                <w:color w:val="000000"/>
                <w:sz w:val="20"/>
              </w:rPr>
              <w:t>приобретенному имуществу"</w:t>
            </w:r>
          </w:p>
        </w:tc>
      </w:tr>
    </w:tbl>
    <w:bookmarkStart w:name="z314" w:id="29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94"/>
    <w:bookmarkStart w:name="z315" w:id="295"/>
    <w:p>
      <w:pPr>
        <w:spacing w:after="0"/>
        <w:ind w:left="0"/>
        <w:jc w:val="left"/>
      </w:pPr>
      <w:r>
        <w:rPr>
          <w:rFonts w:ascii="Times New Roman"/>
          <w:b/>
          <w:i w:val="false"/>
          <w:color w:val="000000"/>
        </w:rPr>
        <w:t xml:space="preserve"> Отчет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приобретенному имуществу</w:t>
      </w:r>
      <w:r>
        <w:br/>
      </w:r>
      <w:r>
        <w:rPr>
          <w:rFonts w:ascii="Times New Roman"/>
          <w:b/>
          <w:i w:val="false"/>
          <w:color w:val="000000"/>
        </w:rPr>
        <w:t>(индекс – OUSA_02, периодичность – ежеквартальная)</w:t>
      </w:r>
    </w:p>
    <w:bookmarkEnd w:id="295"/>
    <w:bookmarkStart w:name="z316" w:id="296"/>
    <w:p>
      <w:pPr>
        <w:spacing w:after="0"/>
        <w:ind w:left="0"/>
        <w:jc w:val="left"/>
      </w:pPr>
      <w:r>
        <w:rPr>
          <w:rFonts w:ascii="Times New Roman"/>
          <w:b/>
          <w:i w:val="false"/>
          <w:color w:val="000000"/>
        </w:rPr>
        <w:t xml:space="preserve"> Глава 1. Общие положения</w:t>
      </w:r>
    </w:p>
    <w:bookmarkEnd w:id="296"/>
    <w:bookmarkStart w:name="z317" w:id="29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приобретенному имуществу" (далее – Форма).</w:t>
      </w:r>
    </w:p>
    <w:bookmarkEnd w:id="297"/>
    <w:bookmarkStart w:name="z318" w:id="298"/>
    <w:p>
      <w:pPr>
        <w:spacing w:after="0"/>
        <w:ind w:left="0"/>
        <w:jc w:val="both"/>
      </w:pPr>
      <w:r>
        <w:rPr>
          <w:rFonts w:ascii="Times New Roman"/>
          <w:b w:val="false"/>
          <w:i w:val="false"/>
          <w:color w:val="000000"/>
          <w:sz w:val="28"/>
        </w:rPr>
        <w:t>
      2. Форма составляется ежеквартально банком второго уровня, имеющим дочернюю организацию, приобретающую сомнительные и безнадежные активы родительского банка. Данные в Форме заполняются в тысячах тенге.</w:t>
      </w:r>
    </w:p>
    <w:bookmarkEnd w:id="298"/>
    <w:bookmarkStart w:name="z319" w:id="29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99"/>
    <w:bookmarkStart w:name="z320" w:id="300"/>
    <w:p>
      <w:pPr>
        <w:spacing w:after="0"/>
        <w:ind w:left="0"/>
        <w:jc w:val="left"/>
      </w:pPr>
      <w:r>
        <w:rPr>
          <w:rFonts w:ascii="Times New Roman"/>
          <w:b/>
          <w:i w:val="false"/>
          <w:color w:val="000000"/>
        </w:rPr>
        <w:t xml:space="preserve"> Глава 2. Пояснение по заполнению Формы</w:t>
      </w:r>
    </w:p>
    <w:bookmarkEnd w:id="300"/>
    <w:bookmarkStart w:name="z321" w:id="301"/>
    <w:p>
      <w:pPr>
        <w:spacing w:after="0"/>
        <w:ind w:left="0"/>
        <w:jc w:val="both"/>
      </w:pPr>
      <w:r>
        <w:rPr>
          <w:rFonts w:ascii="Times New Roman"/>
          <w:b w:val="false"/>
          <w:i w:val="false"/>
          <w:color w:val="000000"/>
          <w:sz w:val="28"/>
        </w:rPr>
        <w:t>
      4. В Форме указывается информация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 имуществе (за исключением имущества, сведения по которому указываются в форме отчета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 согласно приложению 15 к настоящему постановлению).</w:t>
      </w:r>
    </w:p>
    <w:bookmarkEnd w:id="301"/>
    <w:bookmarkStart w:name="z322" w:id="302"/>
    <w:p>
      <w:pPr>
        <w:spacing w:after="0"/>
        <w:ind w:left="0"/>
        <w:jc w:val="both"/>
      </w:pPr>
      <w:r>
        <w:rPr>
          <w:rFonts w:ascii="Times New Roman"/>
          <w:b w:val="false"/>
          <w:i w:val="false"/>
          <w:color w:val="000000"/>
          <w:sz w:val="28"/>
        </w:rPr>
        <w:t>
      5. В графах 2, 3 и 4 указываются наименование лица, передавшего сомнительный и безнадежный актив дочерней организации, приобретающей сомнительные и безнадежные активы родительского банка, дочерней организации, приобретающей сомнительные и безнадежные активы родительского банка, и лица, по правам требования к которому имущество принято на баланс банка и в последующем передано дочерней организации, приобретающей сомнительные и безнадежные активы родительского банка, соответственно.</w:t>
      </w:r>
    </w:p>
    <w:bookmarkEnd w:id="302"/>
    <w:bookmarkStart w:name="z323" w:id="303"/>
    <w:p>
      <w:pPr>
        <w:spacing w:after="0"/>
        <w:ind w:left="0"/>
        <w:jc w:val="both"/>
      </w:pPr>
      <w:r>
        <w:rPr>
          <w:rFonts w:ascii="Times New Roman"/>
          <w:b w:val="false"/>
          <w:i w:val="false"/>
          <w:color w:val="000000"/>
          <w:sz w:val="28"/>
        </w:rPr>
        <w:t>
      Для идентификации контрагентов в графе 5 указываются следующие показатели:</w:t>
      </w:r>
    </w:p>
    <w:bookmarkEnd w:id="303"/>
    <w:bookmarkStart w:name="z324" w:id="304"/>
    <w:p>
      <w:pPr>
        <w:spacing w:after="0"/>
        <w:ind w:left="0"/>
        <w:jc w:val="both"/>
      </w:pPr>
      <w:r>
        <w:rPr>
          <w:rFonts w:ascii="Times New Roman"/>
          <w:b w:val="false"/>
          <w:i w:val="false"/>
          <w:color w:val="000000"/>
          <w:sz w:val="28"/>
        </w:rPr>
        <w:t>
      по резидентам Республики Казахстан: для юридического лица – бизнес-идентификационный номер; для физического лица, в том числе индивидуального предпринимателя – индивидуальный идентификационный номер;</w:t>
      </w:r>
    </w:p>
    <w:bookmarkEnd w:id="304"/>
    <w:bookmarkStart w:name="z325" w:id="305"/>
    <w:p>
      <w:pPr>
        <w:spacing w:after="0"/>
        <w:ind w:left="0"/>
        <w:jc w:val="both"/>
      </w:pPr>
      <w:r>
        <w:rPr>
          <w:rFonts w:ascii="Times New Roman"/>
          <w:b w:val="false"/>
          <w:i w:val="false"/>
          <w:color w:val="000000"/>
          <w:sz w:val="28"/>
        </w:rPr>
        <w:t>
      по нерезидентам Республики Казахстан: для юридического лица – банковский идентификационный код, присвоенный контрагенту банка в соответствии с международным стандартом ISO (International Organization for Standartization) 9362: Bank Identifier Code (далее – банковский идентификационный код); для физического лица, в том числе индивидуального предпринимателя, и для юридического лица (при отсутствии у него банковского идентификационного кода) – альтернативный идентификационный номер, сформированный отчитывающимся банком по алгоритму, установленному для информационной системы, посредством которой представляется Форма.</w:t>
      </w:r>
    </w:p>
    <w:bookmarkEnd w:id="305"/>
    <w:bookmarkStart w:name="z326" w:id="306"/>
    <w:p>
      <w:pPr>
        <w:spacing w:after="0"/>
        <w:ind w:left="0"/>
        <w:jc w:val="both"/>
      </w:pPr>
      <w:r>
        <w:rPr>
          <w:rFonts w:ascii="Times New Roman"/>
          <w:b w:val="false"/>
          <w:i w:val="false"/>
          <w:color w:val="000000"/>
          <w:sz w:val="28"/>
        </w:rPr>
        <w:t>
      6. При заполнении граф 2, 5, 19, 20, 21, 22, 24, 47 указываются в соответствии со справочниками, размещенными в информационной системе "Веб-портал Национального Банка Республики Казахстан".</w:t>
      </w:r>
    </w:p>
    <w:bookmarkEnd w:id="306"/>
    <w:bookmarkStart w:name="z327" w:id="307"/>
    <w:p>
      <w:pPr>
        <w:spacing w:after="0"/>
        <w:ind w:left="0"/>
        <w:jc w:val="both"/>
      </w:pPr>
      <w:r>
        <w:rPr>
          <w:rFonts w:ascii="Times New Roman"/>
          <w:b w:val="false"/>
          <w:i w:val="false"/>
          <w:color w:val="000000"/>
          <w:sz w:val="28"/>
        </w:rPr>
        <w:t>
      7. В графах 6 и 7 указываются реквизиты договора банковского займа, заключенного между банком и лицом, по правам требования к которому имущество принято на баланс банка и в последующем передано дочерней организации, приобретающей сомнительные и безнадежные активы родительского банка.</w:t>
      </w:r>
    </w:p>
    <w:bookmarkEnd w:id="307"/>
    <w:bookmarkStart w:name="z328" w:id="308"/>
    <w:p>
      <w:pPr>
        <w:spacing w:after="0"/>
        <w:ind w:left="0"/>
        <w:jc w:val="both"/>
      </w:pPr>
      <w:r>
        <w:rPr>
          <w:rFonts w:ascii="Times New Roman"/>
          <w:b w:val="false"/>
          <w:i w:val="false"/>
          <w:color w:val="000000"/>
          <w:sz w:val="28"/>
        </w:rPr>
        <w:t>
      8. В графах 8, 9, 10, 11, 12, 13, 14, 15 и 16 указывается балансовая стоимость займа на дату принятия имущества на баланс банка, распределенная по видам стоимостных показателей.</w:t>
      </w:r>
    </w:p>
    <w:bookmarkEnd w:id="308"/>
    <w:bookmarkStart w:name="z329" w:id="309"/>
    <w:p>
      <w:pPr>
        <w:spacing w:after="0"/>
        <w:ind w:left="0"/>
        <w:jc w:val="both"/>
      </w:pPr>
      <w:r>
        <w:rPr>
          <w:rFonts w:ascii="Times New Roman"/>
          <w:b w:val="false"/>
          <w:i w:val="false"/>
          <w:color w:val="000000"/>
          <w:sz w:val="28"/>
        </w:rPr>
        <w:t>
      9. В графах 17, 18, 19, 20 и 22 указываются сведения об имуществе на момент его принятия на баланс банка.</w:t>
      </w:r>
    </w:p>
    <w:bookmarkEnd w:id="309"/>
    <w:bookmarkStart w:name="z330" w:id="310"/>
    <w:p>
      <w:pPr>
        <w:spacing w:after="0"/>
        <w:ind w:left="0"/>
        <w:jc w:val="both"/>
      </w:pPr>
      <w:r>
        <w:rPr>
          <w:rFonts w:ascii="Times New Roman"/>
          <w:b w:val="false"/>
          <w:i w:val="false"/>
          <w:color w:val="000000"/>
          <w:sz w:val="28"/>
        </w:rPr>
        <w:t>
      10. В графах 23, 24, 25 и 26 указываются сведения об имуществе на момент его передачи банком дочерней организации, приобретающей сомнительные и безнадежные активы родительского банка.</w:t>
      </w:r>
    </w:p>
    <w:bookmarkEnd w:id="310"/>
    <w:bookmarkStart w:name="z331" w:id="311"/>
    <w:p>
      <w:pPr>
        <w:spacing w:after="0"/>
        <w:ind w:left="0"/>
        <w:jc w:val="both"/>
      </w:pPr>
      <w:r>
        <w:rPr>
          <w:rFonts w:ascii="Times New Roman"/>
          <w:b w:val="false"/>
          <w:i w:val="false"/>
          <w:color w:val="000000"/>
          <w:sz w:val="28"/>
        </w:rPr>
        <w:t>
      11. В графе 27 указывается стоимость, по которой имущество передано банком дочерней организации, приобретающей сомнительные и безнадежные активы родительского банка.</w:t>
      </w:r>
    </w:p>
    <w:bookmarkEnd w:id="311"/>
    <w:bookmarkStart w:name="z332" w:id="312"/>
    <w:p>
      <w:pPr>
        <w:spacing w:after="0"/>
        <w:ind w:left="0"/>
        <w:jc w:val="both"/>
      </w:pPr>
      <w:r>
        <w:rPr>
          <w:rFonts w:ascii="Times New Roman"/>
          <w:b w:val="false"/>
          <w:i w:val="false"/>
          <w:color w:val="000000"/>
          <w:sz w:val="28"/>
        </w:rPr>
        <w:t>
      12. В графе 28 указывается сумма дисконта в абсолютном выражении.</w:t>
      </w:r>
    </w:p>
    <w:bookmarkEnd w:id="312"/>
    <w:bookmarkStart w:name="z333" w:id="313"/>
    <w:p>
      <w:pPr>
        <w:spacing w:after="0"/>
        <w:ind w:left="0"/>
        <w:jc w:val="both"/>
      </w:pPr>
      <w:r>
        <w:rPr>
          <w:rFonts w:ascii="Times New Roman"/>
          <w:b w:val="false"/>
          <w:i w:val="false"/>
          <w:color w:val="000000"/>
          <w:sz w:val="28"/>
        </w:rPr>
        <w:t>
      13. В графе 29 указывается балансовая стоимость актива по состоянию на отчетную дату.</w:t>
      </w:r>
    </w:p>
    <w:bookmarkEnd w:id="313"/>
    <w:bookmarkStart w:name="z334" w:id="314"/>
    <w:p>
      <w:pPr>
        <w:spacing w:after="0"/>
        <w:ind w:left="0"/>
        <w:jc w:val="both"/>
      </w:pPr>
      <w:r>
        <w:rPr>
          <w:rFonts w:ascii="Times New Roman"/>
          <w:b w:val="false"/>
          <w:i w:val="false"/>
          <w:color w:val="000000"/>
          <w:sz w:val="28"/>
        </w:rPr>
        <w:t>
      14. В графах 30, 31, 32 и 33 указываются сведения об имуществе.</w:t>
      </w:r>
    </w:p>
    <w:bookmarkEnd w:id="314"/>
    <w:bookmarkStart w:name="z335" w:id="315"/>
    <w:p>
      <w:pPr>
        <w:spacing w:after="0"/>
        <w:ind w:left="0"/>
        <w:jc w:val="both"/>
      </w:pPr>
      <w:r>
        <w:rPr>
          <w:rFonts w:ascii="Times New Roman"/>
          <w:b w:val="false"/>
          <w:i w:val="false"/>
          <w:color w:val="000000"/>
          <w:sz w:val="28"/>
        </w:rPr>
        <w:t>
      15. В графах 34 и 35 указывается рыночная стоимость имущества по данным независимого оценщика, а также дата оценки.</w:t>
      </w:r>
    </w:p>
    <w:bookmarkEnd w:id="315"/>
    <w:bookmarkStart w:name="z336" w:id="316"/>
    <w:p>
      <w:pPr>
        <w:spacing w:after="0"/>
        <w:ind w:left="0"/>
        <w:jc w:val="both"/>
      </w:pPr>
      <w:r>
        <w:rPr>
          <w:rFonts w:ascii="Times New Roman"/>
          <w:b w:val="false"/>
          <w:i w:val="false"/>
          <w:color w:val="000000"/>
          <w:sz w:val="28"/>
        </w:rPr>
        <w:t>
      16. В графах 36 и 37 указывается рыночная стоимость имущества по оценке дочерней организации, приобретающей сомнительные и безнадежные активы родительского банка.</w:t>
      </w:r>
    </w:p>
    <w:bookmarkEnd w:id="316"/>
    <w:bookmarkStart w:name="z337" w:id="317"/>
    <w:p>
      <w:pPr>
        <w:spacing w:after="0"/>
        <w:ind w:left="0"/>
        <w:jc w:val="both"/>
      </w:pPr>
      <w:r>
        <w:rPr>
          <w:rFonts w:ascii="Times New Roman"/>
          <w:b w:val="false"/>
          <w:i w:val="false"/>
          <w:color w:val="000000"/>
          <w:sz w:val="28"/>
        </w:rPr>
        <w:t>
      17. В графе 38 указываются реквизиты договора, заключенного между банком и дочерней организацией, приобретающей сомнительные и безнадежные активы родительского банка, о передаче имущества. При отсутствии договора значение в графе 38 не заполняется.</w:t>
      </w:r>
    </w:p>
    <w:bookmarkEnd w:id="317"/>
    <w:bookmarkStart w:name="z338" w:id="318"/>
    <w:p>
      <w:pPr>
        <w:spacing w:after="0"/>
        <w:ind w:left="0"/>
        <w:jc w:val="both"/>
      </w:pPr>
      <w:r>
        <w:rPr>
          <w:rFonts w:ascii="Times New Roman"/>
          <w:b w:val="false"/>
          <w:i w:val="false"/>
          <w:color w:val="000000"/>
          <w:sz w:val="28"/>
        </w:rPr>
        <w:t>
      18. В графах 39 и 40 указывается сумма займа, предоставленного банком дочерней организации, приобретающей сомнительные и безнадежные активы родительского банка. При отсутствии займа значение в графах 39 и 40 не заполняется.</w:t>
      </w:r>
    </w:p>
    <w:bookmarkEnd w:id="318"/>
    <w:bookmarkStart w:name="z339" w:id="319"/>
    <w:p>
      <w:pPr>
        <w:spacing w:after="0"/>
        <w:ind w:left="0"/>
        <w:jc w:val="both"/>
      </w:pPr>
      <w:r>
        <w:rPr>
          <w:rFonts w:ascii="Times New Roman"/>
          <w:b w:val="false"/>
          <w:i w:val="false"/>
          <w:color w:val="000000"/>
          <w:sz w:val="28"/>
        </w:rPr>
        <w:t>
      19. В графах 41, 42 и 43 указывается сумма дебиторской задолженности, связанной с передачей актива в дочернюю организацию, приобретающей сомнительные и безнадежные активы родительского банка.</w:t>
      </w:r>
    </w:p>
    <w:bookmarkEnd w:id="319"/>
    <w:bookmarkStart w:name="z340" w:id="320"/>
    <w:p>
      <w:pPr>
        <w:spacing w:after="0"/>
        <w:ind w:left="0"/>
        <w:jc w:val="both"/>
      </w:pPr>
      <w:r>
        <w:rPr>
          <w:rFonts w:ascii="Times New Roman"/>
          <w:b w:val="false"/>
          <w:i w:val="false"/>
          <w:color w:val="000000"/>
          <w:sz w:val="28"/>
        </w:rPr>
        <w:t>
      20. В графе 44 указывается дата погашения дочерней организацией, приобретающей сомнительные и безнадежные активы родительского банка, задолженности перед родительским банком по плану мероприятий и (или) договору (если сроки отличаются, указывается более поздний срок).</w:t>
      </w:r>
    </w:p>
    <w:bookmarkEnd w:id="320"/>
    <w:bookmarkStart w:name="z341" w:id="321"/>
    <w:p>
      <w:pPr>
        <w:spacing w:after="0"/>
        <w:ind w:left="0"/>
        <w:jc w:val="both"/>
      </w:pPr>
      <w:r>
        <w:rPr>
          <w:rFonts w:ascii="Times New Roman"/>
          <w:b w:val="false"/>
          <w:i w:val="false"/>
          <w:color w:val="000000"/>
          <w:sz w:val="28"/>
        </w:rPr>
        <w:t>
      21. В графах 45 и 46 указывается периодичность погашения дочерней организацией, приобретающей сомнительные и безнадежные активы родительского банка, задолженности перед родительским банком по Плану мероприятий и (или) договору.</w:t>
      </w:r>
    </w:p>
    <w:bookmarkEnd w:id="321"/>
    <w:bookmarkStart w:name="z342" w:id="322"/>
    <w:p>
      <w:pPr>
        <w:spacing w:after="0"/>
        <w:ind w:left="0"/>
        <w:jc w:val="both"/>
      </w:pPr>
      <w:r>
        <w:rPr>
          <w:rFonts w:ascii="Times New Roman"/>
          <w:b w:val="false"/>
          <w:i w:val="false"/>
          <w:color w:val="000000"/>
          <w:sz w:val="28"/>
        </w:rPr>
        <w:t>
      22. В графе 47 указывается периодичность погашения вознаграждения по займу.</w:t>
      </w:r>
    </w:p>
    <w:bookmarkEnd w:id="322"/>
    <w:bookmarkStart w:name="z343" w:id="323"/>
    <w:p>
      <w:pPr>
        <w:spacing w:after="0"/>
        <w:ind w:left="0"/>
        <w:jc w:val="both"/>
      </w:pPr>
      <w:r>
        <w:rPr>
          <w:rFonts w:ascii="Times New Roman"/>
          <w:b w:val="false"/>
          <w:i w:val="false"/>
          <w:color w:val="000000"/>
          <w:sz w:val="28"/>
        </w:rPr>
        <w:t>
      23. В графах 48, 53 и 69 указывается сумма платежей, произведенных в пользу родительского банка в счет погашения задолженности по данному имуществу (активу), фактического притока и оттока денежных средств в дочернюю организацию, приобретающую сомнительные и безнадежные активы родительского банка, связанных с управлением имуществом (активом), соответственно. Данные предоставляются за период. В последующем данные указываются только за отчетный квартал.</w:t>
      </w:r>
    </w:p>
    <w:bookmarkEnd w:id="323"/>
    <w:bookmarkStart w:name="z344" w:id="324"/>
    <w:p>
      <w:pPr>
        <w:spacing w:after="0"/>
        <w:ind w:left="0"/>
        <w:jc w:val="both"/>
      </w:pPr>
      <w:r>
        <w:rPr>
          <w:rFonts w:ascii="Times New Roman"/>
          <w:b w:val="false"/>
          <w:i w:val="false"/>
          <w:color w:val="000000"/>
          <w:sz w:val="28"/>
        </w:rPr>
        <w:t>
      24. В графе 52 указываются фактические мероприятия, проведенные дочерней организацией, приобретающей сомнительные и безнадежные активы родительского банка, в отношении имущества (актива), в том числе связанных с его улучшением, за весь период управления.</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348" w:id="32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25"/>
    <w:bookmarkStart w:name="z349" w:id="32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26"/>
    <w:bookmarkStart w:name="z350" w:id="327"/>
    <w:p>
      <w:pPr>
        <w:spacing w:after="0"/>
        <w:ind w:left="0"/>
        <w:jc w:val="both"/>
      </w:pPr>
      <w:r>
        <w:rPr>
          <w:rFonts w:ascii="Times New Roman"/>
          <w:b w:val="false"/>
          <w:i w:val="false"/>
          <w:color w:val="000000"/>
          <w:sz w:val="28"/>
        </w:rPr>
        <w:t>
      Наименование административной формы: Отчет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 (далее – ОУСА)</w:t>
      </w:r>
    </w:p>
    <w:bookmarkEnd w:id="327"/>
    <w:bookmarkStart w:name="z351" w:id="32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OUSA_03</w:t>
      </w:r>
    </w:p>
    <w:bookmarkEnd w:id="328"/>
    <w:bookmarkStart w:name="z352" w:id="329"/>
    <w:p>
      <w:pPr>
        <w:spacing w:after="0"/>
        <w:ind w:left="0"/>
        <w:jc w:val="both"/>
      </w:pPr>
      <w:r>
        <w:rPr>
          <w:rFonts w:ascii="Times New Roman"/>
          <w:b w:val="false"/>
          <w:i w:val="false"/>
          <w:color w:val="000000"/>
          <w:sz w:val="28"/>
        </w:rPr>
        <w:t>
      Периодичность: ежеквартальная</w:t>
      </w:r>
    </w:p>
    <w:bookmarkEnd w:id="329"/>
    <w:bookmarkStart w:name="z353" w:id="330"/>
    <w:p>
      <w:pPr>
        <w:spacing w:after="0"/>
        <w:ind w:left="0"/>
        <w:jc w:val="both"/>
      </w:pPr>
      <w:r>
        <w:rPr>
          <w:rFonts w:ascii="Times New Roman"/>
          <w:b w:val="false"/>
          <w:i w:val="false"/>
          <w:color w:val="000000"/>
          <w:sz w:val="28"/>
        </w:rPr>
        <w:t>
      Отчетный период: по состоянию на "___" "______________" 20__ года</w:t>
      </w:r>
    </w:p>
    <w:bookmarkEnd w:id="330"/>
    <w:bookmarkStart w:name="z354" w:id="33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имеющие дочернюю организацию, приобретающую сомнительные и безнадежные активы родительского банка</w:t>
      </w:r>
    </w:p>
    <w:bookmarkEnd w:id="331"/>
    <w:bookmarkStart w:name="z355" w:id="33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30 (тридцати) календарных дней, следующих за отчетным кварталом</w:t>
      </w:r>
    </w:p>
    <w:bookmarkEnd w:id="332"/>
    <w:bookmarkStart w:name="z356" w:id="333"/>
    <w:p>
      <w:pPr>
        <w:spacing w:after="0"/>
        <w:ind w:left="0"/>
        <w:jc w:val="both"/>
      </w:pPr>
      <w:r>
        <w:rPr>
          <w:rFonts w:ascii="Times New Roman"/>
          <w:b w:val="false"/>
          <w:i w:val="false"/>
          <w:color w:val="000000"/>
          <w:sz w:val="28"/>
        </w:rPr>
        <w:t>
      БИН: _______________________</w:t>
      </w:r>
    </w:p>
    <w:bookmarkEnd w:id="333"/>
    <w:bookmarkStart w:name="z357" w:id="334"/>
    <w:p>
      <w:pPr>
        <w:spacing w:after="0"/>
        <w:ind w:left="0"/>
        <w:jc w:val="both"/>
      </w:pPr>
      <w:r>
        <w:rPr>
          <w:rFonts w:ascii="Times New Roman"/>
          <w:b w:val="false"/>
          <w:i w:val="false"/>
          <w:color w:val="000000"/>
          <w:sz w:val="28"/>
        </w:rPr>
        <w:t>
      Метод сбора: в электронном виде</w:t>
      </w:r>
    </w:p>
    <w:bookmarkEnd w:id="334"/>
    <w:bookmarkStart w:name="z358" w:id="335"/>
    <w:p>
      <w:pPr>
        <w:spacing w:after="0"/>
        <w:ind w:left="0"/>
        <w:jc w:val="both"/>
      </w:pPr>
      <w:r>
        <w:rPr>
          <w:rFonts w:ascii="Times New Roman"/>
          <w:b w:val="false"/>
          <w:i w:val="false"/>
          <w:color w:val="000000"/>
          <w:sz w:val="28"/>
        </w:rPr>
        <w:t>
      (в тысячах тенге)</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ОУСА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(по правам требования которого взыскано залоговое имущество)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клиента/ заемщика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кредитной линии/ банковского займа (по которому принят данный залог)</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займов на момент принятия залогового имущества на баланс ОУСА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 на балансе ОУСА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Просроченный основной долг на балансе ОУСА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на балансе ОУСА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начисленное вознаграждение на балансе ОУСА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и другое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займа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336"/>
    <w:p>
      <w:pPr>
        <w:spacing w:after="0"/>
        <w:ind w:left="0"/>
        <w:jc w:val="both"/>
      </w:pPr>
      <w:r>
        <w:rPr>
          <w:rFonts w:ascii="Times New Roman"/>
          <w:b w:val="false"/>
          <w:i w:val="false"/>
          <w:color w:val="000000"/>
          <w:sz w:val="28"/>
        </w:rPr>
        <w:t>
      продолжение таблицы</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имущества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актива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принятия имущества на баланс ОУСА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взыскания залогового имущества на баланс ОУСА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взысканного залога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взысканного залога (указать стоимость и дату оценки)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абсолютном значении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площадь на момент передачи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площадь на отчетную дату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момент принятия на баланс ОУСА/ взыскания залога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балансе ОУСА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залоговая стоимость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 w:id="337"/>
    <w:p>
      <w:pPr>
        <w:spacing w:after="0"/>
        <w:ind w:left="0"/>
        <w:jc w:val="both"/>
      </w:pPr>
      <w:r>
        <w:rPr>
          <w:rFonts w:ascii="Times New Roman"/>
          <w:b w:val="false"/>
          <w:i w:val="false"/>
          <w:color w:val="000000"/>
          <w:sz w:val="28"/>
        </w:rPr>
        <w:t>
      продолжение таблицы</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выданная родительским банком по договору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проведенные ОУСА в отношении взысканного залога, в т.ч. связанных с их улучшением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отток денежных средств (ОДДС)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 на отчетную дату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имущества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ремонтные работы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балансе ОУСА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залоговая стоимость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338"/>
    <w:p>
      <w:pPr>
        <w:spacing w:after="0"/>
        <w:ind w:left="0"/>
        <w:jc w:val="both"/>
      </w:pPr>
      <w:r>
        <w:rPr>
          <w:rFonts w:ascii="Times New Roman"/>
          <w:b w:val="false"/>
          <w:i w:val="false"/>
          <w:color w:val="000000"/>
          <w:sz w:val="28"/>
        </w:rPr>
        <w:t>
      продолжение таблицы</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строительство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 расходы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339"/>
    <w:p>
      <w:pPr>
        <w:spacing w:after="0"/>
        <w:ind w:left="0"/>
        <w:jc w:val="both"/>
      </w:pPr>
      <w:r>
        <w:rPr>
          <w:rFonts w:ascii="Times New Roman"/>
          <w:b w:val="false"/>
          <w:i w:val="false"/>
          <w:color w:val="000000"/>
          <w:sz w:val="28"/>
        </w:rPr>
        <w:t>
      продолжение таблицы</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приток/отток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3" w:id="340"/>
      <w:r>
        <w:rPr>
          <w:rFonts w:ascii="Times New Roman"/>
          <w:b w:val="false"/>
          <w:i w:val="false"/>
          <w:color w:val="000000"/>
          <w:sz w:val="28"/>
        </w:rPr>
        <w:t>
      Наименование _________________________________________</w:t>
      </w:r>
    </w:p>
    <w:bookmarkEnd w:id="340"/>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364" w:id="34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имуществе,</w:t>
            </w:r>
            <w:r>
              <w:br/>
            </w:r>
            <w:r>
              <w:rPr>
                <w:rFonts w:ascii="Times New Roman"/>
                <w:b w:val="false"/>
                <w:i w:val="false"/>
                <w:color w:val="000000"/>
                <w:sz w:val="20"/>
              </w:rPr>
              <w:t>перешедшем в собственность дочерней</w:t>
            </w:r>
            <w:r>
              <w:br/>
            </w:r>
            <w:r>
              <w:rPr>
                <w:rFonts w:ascii="Times New Roman"/>
                <w:b w:val="false"/>
                <w:i w:val="false"/>
                <w:color w:val="000000"/>
                <w:sz w:val="20"/>
              </w:rPr>
              <w:t>организации, приобретающей сомнительные</w:t>
            </w:r>
            <w:r>
              <w:br/>
            </w:r>
            <w:r>
              <w:rPr>
                <w:rFonts w:ascii="Times New Roman"/>
                <w:b w:val="false"/>
                <w:i w:val="false"/>
                <w:color w:val="000000"/>
                <w:sz w:val="20"/>
              </w:rPr>
              <w:t>и безнадежные активы родительского банка,</w:t>
            </w:r>
            <w:r>
              <w:br/>
            </w:r>
            <w:r>
              <w:rPr>
                <w:rFonts w:ascii="Times New Roman"/>
                <w:b w:val="false"/>
                <w:i w:val="false"/>
                <w:color w:val="000000"/>
                <w:sz w:val="20"/>
              </w:rPr>
              <w:t>в результате обращения взыскания</w:t>
            </w:r>
            <w:r>
              <w:br/>
            </w:r>
            <w:r>
              <w:rPr>
                <w:rFonts w:ascii="Times New Roman"/>
                <w:b w:val="false"/>
                <w:i w:val="false"/>
                <w:color w:val="000000"/>
                <w:sz w:val="20"/>
              </w:rPr>
              <w:t>на заложенное имущество"</w:t>
            </w:r>
          </w:p>
        </w:tc>
      </w:tr>
    </w:tbl>
    <w:bookmarkStart w:name="z366" w:id="34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42"/>
    <w:bookmarkStart w:name="z367" w:id="343"/>
    <w:p>
      <w:pPr>
        <w:spacing w:after="0"/>
        <w:ind w:left="0"/>
        <w:jc w:val="left"/>
      </w:pPr>
      <w:r>
        <w:rPr>
          <w:rFonts w:ascii="Times New Roman"/>
          <w:b/>
          <w:i w:val="false"/>
          <w:color w:val="000000"/>
        </w:rPr>
        <w:t xml:space="preserve"> Отчет об имуществе, перешедшем в собственность дочерней организации,</w:t>
      </w:r>
      <w:r>
        <w:br/>
      </w:r>
      <w:r>
        <w:rPr>
          <w:rFonts w:ascii="Times New Roman"/>
          <w:b/>
          <w:i w:val="false"/>
          <w:color w:val="000000"/>
        </w:rPr>
        <w:t>приобретающей сомнительные и безнадежные активы родительского банка,</w:t>
      </w:r>
      <w:r>
        <w:br/>
      </w:r>
      <w:r>
        <w:rPr>
          <w:rFonts w:ascii="Times New Roman"/>
          <w:b/>
          <w:i w:val="false"/>
          <w:color w:val="000000"/>
        </w:rPr>
        <w:t>в результате обращения взыскания на заложенное имущество</w:t>
      </w:r>
      <w:r>
        <w:br/>
      </w:r>
      <w:r>
        <w:rPr>
          <w:rFonts w:ascii="Times New Roman"/>
          <w:b/>
          <w:i w:val="false"/>
          <w:color w:val="000000"/>
        </w:rPr>
        <w:t>(индекс – OUSA_03, периодичность – ежеквартальная)</w:t>
      </w:r>
    </w:p>
    <w:bookmarkEnd w:id="343"/>
    <w:bookmarkStart w:name="z368" w:id="344"/>
    <w:p>
      <w:pPr>
        <w:spacing w:after="0"/>
        <w:ind w:left="0"/>
        <w:jc w:val="left"/>
      </w:pPr>
      <w:r>
        <w:rPr>
          <w:rFonts w:ascii="Times New Roman"/>
          <w:b/>
          <w:i w:val="false"/>
          <w:color w:val="000000"/>
        </w:rPr>
        <w:t xml:space="preserve"> Глава 1. Общие положения</w:t>
      </w:r>
    </w:p>
    <w:bookmarkEnd w:id="344"/>
    <w:bookmarkStart w:name="z369" w:id="34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 (далее – Форма).</w:t>
      </w:r>
    </w:p>
    <w:bookmarkEnd w:id="345"/>
    <w:bookmarkStart w:name="z370" w:id="346"/>
    <w:p>
      <w:pPr>
        <w:spacing w:after="0"/>
        <w:ind w:left="0"/>
        <w:jc w:val="both"/>
      </w:pPr>
      <w:r>
        <w:rPr>
          <w:rFonts w:ascii="Times New Roman"/>
          <w:b w:val="false"/>
          <w:i w:val="false"/>
          <w:color w:val="000000"/>
          <w:sz w:val="28"/>
        </w:rPr>
        <w:t>
      2. Форма составляется ежеквартально банком второго уровня, имеющим дочернюю организацию, приобретающую сомнительные и безнадежные активы родительского банка. Данные в Форме заполняются в тысячах тенге.</w:t>
      </w:r>
    </w:p>
    <w:bookmarkEnd w:id="346"/>
    <w:bookmarkStart w:name="z371" w:id="34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47"/>
    <w:bookmarkStart w:name="z372" w:id="348"/>
    <w:p>
      <w:pPr>
        <w:spacing w:after="0"/>
        <w:ind w:left="0"/>
        <w:jc w:val="left"/>
      </w:pPr>
      <w:r>
        <w:rPr>
          <w:rFonts w:ascii="Times New Roman"/>
          <w:b/>
          <w:i w:val="false"/>
          <w:color w:val="000000"/>
        </w:rPr>
        <w:t xml:space="preserve"> Глава 2. Пояснение по заполнению Формы</w:t>
      </w:r>
    </w:p>
    <w:bookmarkEnd w:id="348"/>
    <w:bookmarkStart w:name="z373" w:id="349"/>
    <w:p>
      <w:pPr>
        <w:spacing w:after="0"/>
        <w:ind w:left="0"/>
        <w:jc w:val="both"/>
      </w:pPr>
      <w:r>
        <w:rPr>
          <w:rFonts w:ascii="Times New Roman"/>
          <w:b w:val="false"/>
          <w:i w:val="false"/>
          <w:color w:val="000000"/>
          <w:sz w:val="28"/>
        </w:rPr>
        <w:t>
      4. В Форме указывается информация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w:t>
      </w:r>
    </w:p>
    <w:bookmarkEnd w:id="349"/>
    <w:bookmarkStart w:name="z374" w:id="350"/>
    <w:p>
      <w:pPr>
        <w:spacing w:after="0"/>
        <w:ind w:left="0"/>
        <w:jc w:val="both"/>
      </w:pPr>
      <w:r>
        <w:rPr>
          <w:rFonts w:ascii="Times New Roman"/>
          <w:b w:val="false"/>
          <w:i w:val="false"/>
          <w:color w:val="000000"/>
          <w:sz w:val="28"/>
        </w:rPr>
        <w:t>
      5. В графе 2 указывается наименование дочерней организации, приобретающей сомнительные и безнадежные активы родительского банка, и наименование лица, по правам требования к которому имущество принято на баланс дочерней организации, приобретающей сомнительные и безнадежные активы родительского банка, соответственно, в соответствии со справочниками, которые ведутся отчитывающимся банком.</w:t>
      </w:r>
    </w:p>
    <w:bookmarkEnd w:id="350"/>
    <w:bookmarkStart w:name="z375" w:id="351"/>
    <w:p>
      <w:pPr>
        <w:spacing w:after="0"/>
        <w:ind w:left="0"/>
        <w:jc w:val="both"/>
      </w:pPr>
      <w:r>
        <w:rPr>
          <w:rFonts w:ascii="Times New Roman"/>
          <w:b w:val="false"/>
          <w:i w:val="false"/>
          <w:color w:val="000000"/>
          <w:sz w:val="28"/>
        </w:rPr>
        <w:t>
      Для идентификации контрагентов в графе 4 указываются следующие показатели:</w:t>
      </w:r>
    </w:p>
    <w:bookmarkEnd w:id="351"/>
    <w:bookmarkStart w:name="z376" w:id="352"/>
    <w:p>
      <w:pPr>
        <w:spacing w:after="0"/>
        <w:ind w:left="0"/>
        <w:jc w:val="both"/>
      </w:pPr>
      <w:r>
        <w:rPr>
          <w:rFonts w:ascii="Times New Roman"/>
          <w:b w:val="false"/>
          <w:i w:val="false"/>
          <w:color w:val="000000"/>
          <w:sz w:val="28"/>
        </w:rPr>
        <w:t>
      по резидентам Республики Казахстан: для юридического лица – бизнес-идентификационный номер; для физического лица, в том числе индивидуального предпринимателя – индивидуальный идентификационный номер;</w:t>
      </w:r>
    </w:p>
    <w:bookmarkEnd w:id="352"/>
    <w:bookmarkStart w:name="z377" w:id="353"/>
    <w:p>
      <w:pPr>
        <w:spacing w:after="0"/>
        <w:ind w:left="0"/>
        <w:jc w:val="both"/>
      </w:pPr>
      <w:r>
        <w:rPr>
          <w:rFonts w:ascii="Times New Roman"/>
          <w:b w:val="false"/>
          <w:i w:val="false"/>
          <w:color w:val="000000"/>
          <w:sz w:val="28"/>
        </w:rPr>
        <w:t>
      по нерезидентам Республики Казахстан: для юридического лица – банковский идентификационный код, присвоенный контрагенту банка в соответствии с международным стандартом ISO (International Organization for Standartization) 9362: Bank Identifier Code (далее – банковский идентификационный код); для физического лица, в том числе индивидуального предпринимателя, и для юридического лица (при отсутствии у него банковского идентификационного кода) – альтернативный идентификационный номер, сформированный отчитывающимся банком по алгоритму, установленному для информационной системы, посредством которой представляется Форма.</w:t>
      </w:r>
    </w:p>
    <w:bookmarkEnd w:id="353"/>
    <w:bookmarkStart w:name="z378" w:id="354"/>
    <w:p>
      <w:pPr>
        <w:spacing w:after="0"/>
        <w:ind w:left="0"/>
        <w:jc w:val="both"/>
      </w:pPr>
      <w:r>
        <w:rPr>
          <w:rFonts w:ascii="Times New Roman"/>
          <w:b w:val="false"/>
          <w:i w:val="false"/>
          <w:color w:val="000000"/>
          <w:sz w:val="28"/>
        </w:rPr>
        <w:t>
      6. При заполнении граф 2, 4, 18, 19, 20, 21 указываются в соответствии со справочниками, размещенными в информационной системе "Веб-портал Национального Банка Республики Казахстан".</w:t>
      </w:r>
    </w:p>
    <w:bookmarkEnd w:id="354"/>
    <w:bookmarkStart w:name="z379" w:id="355"/>
    <w:p>
      <w:pPr>
        <w:spacing w:after="0"/>
        <w:ind w:left="0"/>
        <w:jc w:val="both"/>
      </w:pPr>
      <w:r>
        <w:rPr>
          <w:rFonts w:ascii="Times New Roman"/>
          <w:b w:val="false"/>
          <w:i w:val="false"/>
          <w:color w:val="000000"/>
          <w:sz w:val="28"/>
        </w:rPr>
        <w:t>
      7. В графах 5 и 6 указываются реквизиты договора банковского займа, заключенного между банком и лицом, по правам требования к которому имущество принято на баланс дочерней организации, приобретающей сомнительные и безнадежные активы родительского банка.</w:t>
      </w:r>
    </w:p>
    <w:bookmarkEnd w:id="355"/>
    <w:bookmarkStart w:name="z380" w:id="356"/>
    <w:p>
      <w:pPr>
        <w:spacing w:after="0"/>
        <w:ind w:left="0"/>
        <w:jc w:val="both"/>
      </w:pPr>
      <w:r>
        <w:rPr>
          <w:rFonts w:ascii="Times New Roman"/>
          <w:b w:val="false"/>
          <w:i w:val="false"/>
          <w:color w:val="000000"/>
          <w:sz w:val="28"/>
        </w:rPr>
        <w:t>
      8. В графах 7, 8, 9, 10, 11, 12, 13, 14 и 15 указывается балансовая стоимость прав требований по займу, отраженных на балансе дочерней организации, приобретающей сомнительные и безнадежные активы родительского банка, на дату принятия имущества на баланс дочерней организации, приобретающей сомнительные и безнадежные активы родительского банка, распределенная по видам стоимостных показателей.</w:t>
      </w:r>
    </w:p>
    <w:bookmarkEnd w:id="356"/>
    <w:bookmarkStart w:name="z381" w:id="357"/>
    <w:p>
      <w:pPr>
        <w:spacing w:after="0"/>
        <w:ind w:left="0"/>
        <w:jc w:val="both"/>
      </w:pPr>
      <w:r>
        <w:rPr>
          <w:rFonts w:ascii="Times New Roman"/>
          <w:b w:val="false"/>
          <w:i w:val="false"/>
          <w:color w:val="000000"/>
          <w:sz w:val="28"/>
        </w:rPr>
        <w:t>
      9. В графах 16, 19, 22 и 25 указываются сведения об имуществе на момент его принятия на баланс дочерней организации, приобретающей сомнительные и безнадежные активы родительского банка.</w:t>
      </w:r>
    </w:p>
    <w:bookmarkEnd w:id="357"/>
    <w:bookmarkStart w:name="z382" w:id="358"/>
    <w:p>
      <w:pPr>
        <w:spacing w:after="0"/>
        <w:ind w:left="0"/>
        <w:jc w:val="both"/>
      </w:pPr>
      <w:r>
        <w:rPr>
          <w:rFonts w:ascii="Times New Roman"/>
          <w:b w:val="false"/>
          <w:i w:val="false"/>
          <w:color w:val="000000"/>
          <w:sz w:val="28"/>
        </w:rPr>
        <w:t>
      10. В графах 17, 18, 23 и 24 указываются сведения об имуществе.</w:t>
      </w:r>
    </w:p>
    <w:bookmarkEnd w:id="358"/>
    <w:bookmarkStart w:name="z383" w:id="359"/>
    <w:p>
      <w:pPr>
        <w:spacing w:after="0"/>
        <w:ind w:left="0"/>
        <w:jc w:val="both"/>
      </w:pPr>
      <w:r>
        <w:rPr>
          <w:rFonts w:ascii="Times New Roman"/>
          <w:b w:val="false"/>
          <w:i w:val="false"/>
          <w:color w:val="000000"/>
          <w:sz w:val="28"/>
        </w:rPr>
        <w:t>
      11. В графах 26 и 28 указывается стоимость, по которой взысканное имущество отражено на балансе дочерней организацией, приобретающей сомнительные и безнадежные активы родительского банка, на момент его принятия на баланс и на конец отчетного квартала, соответственно.</w:t>
      </w:r>
    </w:p>
    <w:bookmarkEnd w:id="359"/>
    <w:bookmarkStart w:name="z384" w:id="360"/>
    <w:p>
      <w:pPr>
        <w:spacing w:after="0"/>
        <w:ind w:left="0"/>
        <w:jc w:val="both"/>
      </w:pPr>
      <w:r>
        <w:rPr>
          <w:rFonts w:ascii="Times New Roman"/>
          <w:b w:val="false"/>
          <w:i w:val="false"/>
          <w:color w:val="000000"/>
          <w:sz w:val="28"/>
        </w:rPr>
        <w:t>
      12. В графах 27 и 29 указывается залоговая стоимость взысканного имущества с учетом коэффициентов ликвидности (коэффициентов понижения), применяемых в соответствии с внутренней политикой дочерней организацией, приобретающей сомнительные и безнадежные активы родительского банка, на момент его принятия на баланс и на конец отчетного квартала, соответственно.</w:t>
      </w:r>
    </w:p>
    <w:bookmarkEnd w:id="360"/>
    <w:bookmarkStart w:name="z385" w:id="361"/>
    <w:p>
      <w:pPr>
        <w:spacing w:after="0"/>
        <w:ind w:left="0"/>
        <w:jc w:val="both"/>
      </w:pPr>
      <w:r>
        <w:rPr>
          <w:rFonts w:ascii="Times New Roman"/>
          <w:b w:val="false"/>
          <w:i w:val="false"/>
          <w:color w:val="000000"/>
          <w:sz w:val="28"/>
        </w:rPr>
        <w:t>
      13. В графе 30 указывается сумма займа, предоставленного банком дочерней организации, приобретающей сомнительные и безнадежные активы родительского банка. При отсутствии займа значение в графе 30 не заполняется.</w:t>
      </w:r>
    </w:p>
    <w:bookmarkEnd w:id="361"/>
    <w:bookmarkStart w:name="z386" w:id="362"/>
    <w:p>
      <w:pPr>
        <w:spacing w:after="0"/>
        <w:ind w:left="0"/>
        <w:jc w:val="both"/>
      </w:pPr>
      <w:r>
        <w:rPr>
          <w:rFonts w:ascii="Times New Roman"/>
          <w:b w:val="false"/>
          <w:i w:val="false"/>
          <w:color w:val="000000"/>
          <w:sz w:val="28"/>
        </w:rPr>
        <w:t>
      14. В графе 31 указываются фактические мероприятия, проведенные дочерней организацией, приобретающей сомнительные и безнадежные активы родительского банка, в отношении имущества (актива), в том числе связанных с его улучшением, за весь период управления.</w:t>
      </w:r>
    </w:p>
    <w:bookmarkEnd w:id="362"/>
    <w:bookmarkStart w:name="z387" w:id="363"/>
    <w:p>
      <w:pPr>
        <w:spacing w:after="0"/>
        <w:ind w:left="0"/>
        <w:jc w:val="both"/>
      </w:pPr>
      <w:r>
        <w:rPr>
          <w:rFonts w:ascii="Times New Roman"/>
          <w:b w:val="false"/>
          <w:i w:val="false"/>
          <w:color w:val="000000"/>
          <w:sz w:val="28"/>
        </w:rPr>
        <w:t>
      15. В графе 32 указывается сумма фактического притока и оттока денежных средств в дочернюю организацию, приобретающую сомнительные и безнадежные активы родительского банка, связанных с управлением имуществом (активом), соответственно. Данные предоставляются за период. В последующем данные указываются только за отчетный квартал.</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390" w:id="364"/>
    <w:p>
      <w:pPr>
        <w:spacing w:after="0"/>
        <w:ind w:left="0"/>
        <w:jc w:val="left"/>
      </w:pPr>
      <w:r>
        <w:rPr>
          <w:rFonts w:ascii="Times New Roman"/>
          <w:b/>
          <w:i w:val="false"/>
          <w:color w:val="000000"/>
        </w:rPr>
        <w:t xml:space="preserve"> Правила представления отчетности крупными участниками банков второго уровня,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w:t>
      </w:r>
    </w:p>
    <w:bookmarkEnd w:id="364"/>
    <w:bookmarkStart w:name="z391" w:id="365"/>
    <w:p>
      <w:pPr>
        <w:spacing w:after="0"/>
        <w:ind w:left="0"/>
        <w:jc w:val="both"/>
      </w:pPr>
      <w:r>
        <w:rPr>
          <w:rFonts w:ascii="Times New Roman"/>
          <w:b w:val="false"/>
          <w:i w:val="false"/>
          <w:color w:val="000000"/>
          <w:sz w:val="28"/>
        </w:rPr>
        <w:t xml:space="preserve">
      1. Настоящие Правила представления отчетности крупными участниками банков второго уровня,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в Национальный Банк Республики Казахстан (далее – Национальный Банк) отчетности крупными участниками банков,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w:t>
      </w:r>
    </w:p>
    <w:bookmarkEnd w:id="365"/>
    <w:bookmarkStart w:name="z392" w:id="366"/>
    <w:p>
      <w:pPr>
        <w:spacing w:after="0"/>
        <w:ind w:left="0"/>
        <w:jc w:val="both"/>
      </w:pPr>
      <w:r>
        <w:rPr>
          <w:rFonts w:ascii="Times New Roman"/>
          <w:b w:val="false"/>
          <w:i w:val="false"/>
          <w:color w:val="000000"/>
          <w:sz w:val="28"/>
        </w:rPr>
        <w:t>
      2. Отчетность крупного участника банка второго уровня, банковского холдинга, страховой (перестраховочной) организации, страхового холдинга, управляющего инвестиционным портфелем, банка второго уровня представляется в Национальный Банк в электронном формате посредством автоматизированной информационной подсистемы.</w:t>
      </w:r>
    </w:p>
    <w:bookmarkEnd w:id="366"/>
    <w:bookmarkStart w:name="z393" w:id="367"/>
    <w:p>
      <w:pPr>
        <w:spacing w:after="0"/>
        <w:ind w:left="0"/>
        <w:jc w:val="both"/>
      </w:pPr>
      <w:r>
        <w:rPr>
          <w:rFonts w:ascii="Times New Roman"/>
          <w:b w:val="false"/>
          <w:i w:val="false"/>
          <w:color w:val="000000"/>
          <w:sz w:val="28"/>
        </w:rPr>
        <w:t>
      Отчетность, подписанная руководителем или лицом, на которое возложена функция по подписанию отчета, и исполнителем, а также физическим лицом посредством электронно-цифровой подписи, хранится в электронном формате.</w:t>
      </w:r>
    </w:p>
    <w:bookmarkEnd w:id="367"/>
    <w:bookmarkStart w:name="z394" w:id="368"/>
    <w:p>
      <w:pPr>
        <w:spacing w:after="0"/>
        <w:ind w:left="0"/>
        <w:jc w:val="both"/>
      </w:pPr>
      <w:r>
        <w:rPr>
          <w:rFonts w:ascii="Times New Roman"/>
          <w:b w:val="false"/>
          <w:i w:val="false"/>
          <w:color w:val="000000"/>
          <w:sz w:val="28"/>
        </w:rPr>
        <w:t>
      Полнота и достоверность данных в отчетности обеспечиваются руководителем крупного участника банка второго уровня, страховой (перестраховочной) организации или управляющего инвестиционным портфелем, являющегося юридическим лицом, банковского холдинга, страхового холдинга, банка или лицом, на которое возложена функция по подписанию отчета.</w:t>
      </w:r>
    </w:p>
    <w:bookmarkEnd w:id="368"/>
    <w:bookmarkStart w:name="z395" w:id="369"/>
    <w:p>
      <w:pPr>
        <w:spacing w:after="0"/>
        <w:ind w:left="0"/>
        <w:jc w:val="both"/>
      </w:pPr>
      <w:r>
        <w:rPr>
          <w:rFonts w:ascii="Times New Roman"/>
          <w:b w:val="false"/>
          <w:i w:val="false"/>
          <w:color w:val="000000"/>
          <w:sz w:val="28"/>
        </w:rPr>
        <w:t>
      Полнота и достоверность данных в отчетности крупного участника банка второго уровня, страховой (перестраховочной) организации или управляющего инвестиционным портфелем, являющегося физическим лицом, обеспечивается физическим лицом.</w:t>
      </w:r>
    </w:p>
    <w:bookmarkEnd w:id="369"/>
    <w:bookmarkStart w:name="z396" w:id="370"/>
    <w:p>
      <w:pPr>
        <w:spacing w:after="0"/>
        <w:ind w:left="0"/>
        <w:jc w:val="both"/>
      </w:pPr>
      <w:r>
        <w:rPr>
          <w:rFonts w:ascii="Times New Roman"/>
          <w:b w:val="false"/>
          <w:i w:val="false"/>
          <w:color w:val="000000"/>
          <w:sz w:val="28"/>
        </w:rPr>
        <w:t>
      3. Крупный участник банка второго уровня, страховой (перестраховочной) организации, управляющего инвестиционным портфелем - физическое лицо, являющийся одновременно крупным участником иного банка второго уровня и (или) иной страховой (перестраховочной) организации и (или) иного управляющего инвестиционным портфелем, представляет в Национальный Банк сведения и информацию за отчетный период, с учетом сведений по иному банку второго уровня и (или) иной страховой (перестраховочной) организации и (или) иному управляющему инвестиционным портфелем, в которых он является крупным участником.</w:t>
      </w:r>
    </w:p>
    <w:bookmarkEnd w:id="370"/>
    <w:bookmarkStart w:name="z397" w:id="371"/>
    <w:p>
      <w:pPr>
        <w:spacing w:after="0"/>
        <w:ind w:left="0"/>
        <w:jc w:val="both"/>
      </w:pPr>
      <w:r>
        <w:rPr>
          <w:rFonts w:ascii="Times New Roman"/>
          <w:b w:val="false"/>
          <w:i w:val="false"/>
          <w:color w:val="000000"/>
          <w:sz w:val="28"/>
        </w:rPr>
        <w:t>
      4. Учетная политика прилагается в произвольной форме к финансовой отчетности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банка второго уровня в случае представления финансовой отчетности в Национальный Банк впервые, а также при внесении изменений в учетную политику.</w:t>
      </w:r>
    </w:p>
    <w:bookmarkEnd w:id="371"/>
    <w:bookmarkStart w:name="z398" w:id="372"/>
    <w:p>
      <w:pPr>
        <w:spacing w:after="0"/>
        <w:ind w:left="0"/>
        <w:jc w:val="both"/>
      </w:pPr>
      <w:r>
        <w:rPr>
          <w:rFonts w:ascii="Times New Roman"/>
          <w:b w:val="false"/>
          <w:i w:val="false"/>
          <w:color w:val="000000"/>
          <w:sz w:val="28"/>
        </w:rPr>
        <w:t>
      5. Юридическое лицо, являющееся одновременно банковским холдингом и (или) страховым холдингом и (или) крупным участником управляющего инвестиционным портфелем, и (или) крупным участником иного банка второго уровня и (или) иной страховой (перестраховочной) организации и (или) управляющего инвестиционным портфелем, представляет в Национальный Банк отчетность, предусмотренную настоящим постановлением, за требуемый период, составленную с учетом сведений по иному банку второго уровня и (или) иной страховой (перестраховочной) организации и (или) иному управляющему инвестиционным портфелем, в которых оно является крупным участником и (или) банковским холдингом и (или) страховым холдингом и (или) крупным участником, управляющего инвестиционным портфелем.</w:t>
      </w:r>
    </w:p>
    <w:bookmarkEnd w:id="372"/>
    <w:bookmarkStart w:name="z399" w:id="373"/>
    <w:p>
      <w:pPr>
        <w:spacing w:after="0"/>
        <w:ind w:left="0"/>
        <w:jc w:val="both"/>
      </w:pPr>
      <w:r>
        <w:rPr>
          <w:rFonts w:ascii="Times New Roman"/>
          <w:b w:val="false"/>
          <w:i w:val="false"/>
          <w:color w:val="000000"/>
          <w:sz w:val="28"/>
        </w:rPr>
        <w:t xml:space="preserve">
      6. Требования по предоставлению отчетности, предусмотренной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настоящего постановления не распространяются на банки второго уровня, имеющие статус крупного участника банка второго уровня, страховой (перестраховочной) организации, управляющего инвестиционным портфелем или банковского холдинга, 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bookmarkEnd w:id="373"/>
    <w:bookmarkStart w:name="z400" w:id="374"/>
    <w:p>
      <w:pPr>
        <w:spacing w:after="0"/>
        <w:ind w:left="0"/>
        <w:jc w:val="both"/>
      </w:pPr>
      <w:r>
        <w:rPr>
          <w:rFonts w:ascii="Times New Roman"/>
          <w:b w:val="false"/>
          <w:i w:val="false"/>
          <w:color w:val="000000"/>
          <w:sz w:val="28"/>
        </w:rPr>
        <w:t xml:space="preserve">
      7. При представлении годовой отчетности крупными участниками банков второго уровня, страховых (перестраховочных) организаций, управляющего инвестиционным портфелем, банковскими холдингами, страховыми холдингами, крупными участниками управляющего инвестиционным портфелем, банками второго уровня, предусмотренной </w:t>
      </w:r>
      <w:r>
        <w:rPr>
          <w:rFonts w:ascii="Times New Roman"/>
          <w:b w:val="false"/>
          <w:i w:val="false"/>
          <w:color w:val="000000"/>
          <w:sz w:val="28"/>
        </w:rPr>
        <w:t>подпунктами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настоящего постановления, представление указанных форм за четвертый квартал не требуется.</w:t>
      </w:r>
    </w:p>
    <w:bookmarkEnd w:id="374"/>
    <w:bookmarkStart w:name="z401" w:id="375"/>
    <w:p>
      <w:pPr>
        <w:spacing w:after="0"/>
        <w:ind w:left="0"/>
        <w:jc w:val="both"/>
      </w:pPr>
      <w:r>
        <w:rPr>
          <w:rFonts w:ascii="Times New Roman"/>
          <w:b w:val="false"/>
          <w:i w:val="false"/>
          <w:color w:val="000000"/>
          <w:sz w:val="28"/>
        </w:rPr>
        <w:t xml:space="preserve">
      8. В случае, если к срокам предоставления отчетности, установленным </w:t>
      </w:r>
      <w:r>
        <w:rPr>
          <w:rFonts w:ascii="Times New Roman"/>
          <w:b w:val="false"/>
          <w:i w:val="false"/>
          <w:color w:val="000000"/>
          <w:sz w:val="28"/>
        </w:rPr>
        <w:t>пунктом 2</w:t>
      </w:r>
      <w:r>
        <w:rPr>
          <w:rFonts w:ascii="Times New Roman"/>
          <w:b w:val="false"/>
          <w:i w:val="false"/>
          <w:color w:val="000000"/>
          <w:sz w:val="28"/>
        </w:rPr>
        <w:t xml:space="preserve"> настоящего постановления, отчитывающееся лицо утратило статус крупного участника банка второго уровня, банковского холдинга, крупного участника страховых (перестраховочных) организаций, страхового холдинга, крупного участника управляющих инвестиционным портфелем, отчетность за последний отчетный период, предшествующий дате утраты статуса представляется в установленные сроки.</w:t>
      </w:r>
    </w:p>
    <w:bookmarkEnd w:id="375"/>
    <w:bookmarkStart w:name="z402" w:id="376"/>
    <w:p>
      <w:pPr>
        <w:spacing w:after="0"/>
        <w:ind w:left="0"/>
        <w:jc w:val="both"/>
      </w:pPr>
      <w:r>
        <w:rPr>
          <w:rFonts w:ascii="Times New Roman"/>
          <w:b w:val="false"/>
          <w:i w:val="false"/>
          <w:color w:val="000000"/>
          <w:sz w:val="28"/>
        </w:rPr>
        <w:t xml:space="preserve">
      9. В случае отсутствия сведений по формам отчетности, предусмотренной </w:t>
      </w:r>
      <w:r>
        <w:rPr>
          <w:rFonts w:ascii="Times New Roman"/>
          <w:b w:val="false"/>
          <w:i w:val="false"/>
          <w:color w:val="000000"/>
          <w:sz w:val="28"/>
        </w:rPr>
        <w:t>подпунктами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настоящего постановления, крупные участники банков второго уровня, страховых (перестраховочных) организаций, управляющего инвестиционным портфелем, указанные формы представляют с пустыми графами.</w:t>
      </w:r>
    </w:p>
    <w:bookmarkEnd w:id="3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