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2787" w14:textId="47b2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января 2016 года № 33 "Об утверждении Правил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ноября 2024 года № 894. Зарегистрирован в Министерстве юстиции Республики Казахстан 21 ноября 2024 года № 35389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33 "Об утверждении Правил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под № 13133)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Кандидаты проходят тестирование на знание законодательства Республики Казахстан и основ педагогики и психологии, основ предметных знаний по соответствующему должности профилю.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тестовых вопросов составляет сто двадцать, из них на знание законодательства Республики Казахстан – шестьдесят вопросов, основы педагогики и психологии - двадцать вопросов, основы предметных знаний - сорок вопросов.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Тестовые вопросы на знание законодательства Республики Казахстан включают по 10 вопросов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Казахстан, утвержденный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тестирования составляет сто двадцать минут.".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