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5b13" w14:textId="9105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8 октября 2024 года № 676. Зарегистрирован в Министерстве юстиции Республики Казахстан 8 октября 2024 года № 35223. Утратил силу приказом Министра финансов РК от 09.10.2024 № 687.</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09.10.2024 </w:t>
      </w:r>
      <w:r>
        <w:rPr>
          <w:rFonts w:ascii="Times New Roman"/>
          <w:b w:val="false"/>
          <w:i w:val="false"/>
          <w:color w:val="ff0000"/>
          <w:sz w:val="28"/>
        </w:rPr>
        <w:t>№ 687</w:t>
      </w:r>
      <w:r>
        <w:rPr>
          <w:rFonts w:ascii="Times New Roman"/>
          <w:b w:val="false"/>
          <w:i w:val="false"/>
          <w:color w:val="ff0000"/>
          <w:sz w:val="28"/>
        </w:rPr>
        <w:t xml:space="preserve"> (вводится в действие с 01.01.2025).</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12590)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"53. В случаях выявления органами государственных доходов фактов снижения, а также искажения и (или) не отражения показателей финансовой устойчивости, влекущие их завышение, в том числе путем представления потенциальными поставщиками дополнительных форм налоговых отчетностей и (или) отзыва налоговых деклараций, уполномоченный орган:</w:t>
      </w:r>
    </w:p>
    <w:bookmarkEnd w:id="3"/>
    <w:bookmarkStart w:name="z9" w:id="4"/>
    <w:p>
      <w:pPr>
        <w:spacing w:after="0"/>
        <w:ind w:left="0"/>
        <w:jc w:val="both"/>
      </w:pPr>
      <w:r>
        <w:rPr>
          <w:rFonts w:ascii="Times New Roman"/>
          <w:b w:val="false"/>
          <w:i w:val="false"/>
          <w:color w:val="000000"/>
          <w:sz w:val="28"/>
        </w:rPr>
        <w:t>
      1) корректирует на веб-портале сведения по таким потенциальным поставщикам согласно фактическим данным органов государственных доходов, за исключением случаев их завышения;</w:t>
      </w:r>
    </w:p>
    <w:bookmarkEnd w:id="4"/>
    <w:bookmarkStart w:name="z10" w:id="5"/>
    <w:p>
      <w:pPr>
        <w:spacing w:after="0"/>
        <w:ind w:left="0"/>
        <w:jc w:val="both"/>
      </w:pPr>
      <w:r>
        <w:rPr>
          <w:rFonts w:ascii="Times New Roman"/>
          <w:b w:val="false"/>
          <w:i w:val="false"/>
          <w:color w:val="000000"/>
          <w:sz w:val="28"/>
        </w:rPr>
        <w:t>
      2) не отображает на веб-портале показатели финансовой устойчивости таких потенциальных поставщиков до устранения нарушения по уведомлениям органов государственных доходов об устранении нарушений налогового законодательства, влекущих необоснованное завышение показателей финансовой устойчивости, выявленных по результатам камерального контроля за период трех лет, предшествующих предыдущему году;</w:t>
      </w:r>
    </w:p>
    <w:bookmarkEnd w:id="5"/>
    <w:bookmarkStart w:name="z11" w:id="6"/>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меры по включению таких потенциальных поставщиков в реестр недобросовестных участников государственных закупок.";</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"90. В целях подтверждения достоверности сведений и документов, подтверждающих опыт работы, потенциальный поставщик обращается в соответствующие государственные органы, в порядке, определенном настоящими Правилами.</w:t>
      </w:r>
    </w:p>
    <w:bookmarkEnd w:id="7"/>
    <w:bookmarkStart w:name="z14" w:id="8"/>
    <w:p>
      <w:pPr>
        <w:spacing w:after="0"/>
        <w:ind w:left="0"/>
        <w:jc w:val="both"/>
      </w:pPr>
      <w:r>
        <w:rPr>
          <w:rFonts w:ascii="Times New Roman"/>
          <w:b w:val="false"/>
          <w:i w:val="false"/>
          <w:color w:val="000000"/>
          <w:sz w:val="28"/>
        </w:rPr>
        <w:t>
      91. Заявки потенциальных поставщиков о внесении в электронный депозитарий сведений и документов, подтверждающих опыт работы по строительно-монтажным работам за последние десять лет, в том числе за текущий год, по объектам, финансируемым за счет бюджетных средств, ведомством уполномоченного органа и его территориальными подразделениями, рассматриваются с учетом следующих требований:</w:t>
      </w:r>
    </w:p>
    <w:bookmarkEnd w:id="8"/>
    <w:bookmarkStart w:name="z15" w:id="9"/>
    <w:p>
      <w:pPr>
        <w:spacing w:after="0"/>
        <w:ind w:left="0"/>
        <w:jc w:val="both"/>
      </w:pPr>
      <w:r>
        <w:rPr>
          <w:rFonts w:ascii="Times New Roman"/>
          <w:b w:val="false"/>
          <w:i w:val="false"/>
          <w:color w:val="000000"/>
          <w:sz w:val="28"/>
        </w:rPr>
        <w:t>
      1) достоверность сведений и документов, подтверждающих опыт работы потенциального поставщика в качестве генерального подрядчика определяется на основе данных органов казначейства;</w:t>
      </w:r>
    </w:p>
    <w:bookmarkEnd w:id="9"/>
    <w:bookmarkStart w:name="z16" w:id="10"/>
    <w:p>
      <w:pPr>
        <w:spacing w:after="0"/>
        <w:ind w:left="0"/>
        <w:jc w:val="both"/>
      </w:pPr>
      <w:r>
        <w:rPr>
          <w:rFonts w:ascii="Times New Roman"/>
          <w:b w:val="false"/>
          <w:i w:val="false"/>
          <w:color w:val="000000"/>
          <w:sz w:val="28"/>
        </w:rPr>
        <w:t>
      2) достоверность сведений и документов, подтверждающих опыт работы потенциального поставщика в качестве субподрядчика определяется на основе сведений и документов, подтверждающих опыт работы потенциального поставщика, имеющего опыт работы в качестве генерального подрядчика со статусом "Подтверждено" и (или) в соответствии с подпунктом 1) пункта 92 настоящих Правил;</w:t>
      </w:r>
    </w:p>
    <w:bookmarkEnd w:id="10"/>
    <w:bookmarkStart w:name="z17" w:id="11"/>
    <w:p>
      <w:pPr>
        <w:spacing w:after="0"/>
        <w:ind w:left="0"/>
        <w:jc w:val="both"/>
      </w:pPr>
      <w:r>
        <w:rPr>
          <w:rFonts w:ascii="Times New Roman"/>
          <w:b w:val="false"/>
          <w:i w:val="false"/>
          <w:color w:val="000000"/>
          <w:sz w:val="28"/>
        </w:rPr>
        <w:t xml:space="preserve">
      3) соответствие документов, подтверждающих опыт работы потенциального поставщика требованиям </w:t>
      </w:r>
      <w:r>
        <w:rPr>
          <w:rFonts w:ascii="Times New Roman"/>
          <w:b w:val="false"/>
          <w:i w:val="false"/>
          <w:color w:val="000000"/>
          <w:sz w:val="28"/>
        </w:rPr>
        <w:t>пункта 253</w:t>
      </w:r>
      <w:r>
        <w:rPr>
          <w:rFonts w:ascii="Times New Roman"/>
          <w:b w:val="false"/>
          <w:i w:val="false"/>
          <w:color w:val="000000"/>
          <w:sz w:val="28"/>
        </w:rPr>
        <w:t xml:space="preserve"> настоящих Правил.</w:t>
      </w:r>
    </w:p>
    <w:bookmarkEnd w:id="11"/>
    <w:bookmarkStart w:name="z18" w:id="12"/>
    <w:p>
      <w:pPr>
        <w:spacing w:after="0"/>
        <w:ind w:left="0"/>
        <w:jc w:val="both"/>
      </w:pPr>
      <w:r>
        <w:rPr>
          <w:rFonts w:ascii="Times New Roman"/>
          <w:b w:val="false"/>
          <w:i w:val="false"/>
          <w:color w:val="000000"/>
          <w:sz w:val="28"/>
        </w:rPr>
        <w:t>
      92. Заявки потенциальных поставщиков о внесении в электронный депозитарий сведений и документов, подтверждающих опыт работы по строительно-монтажным работам за последние десять лет, в том числе за текущий год по объектам, финансируемым за счет внебюджетных средств ведомством уполномоченного органа и его территориальными подразделениями, рассматриваются с учетом следующих условий:</w:t>
      </w:r>
    </w:p>
    <w:bookmarkEnd w:id="12"/>
    <w:bookmarkStart w:name="z19" w:id="13"/>
    <w:p>
      <w:pPr>
        <w:spacing w:after="0"/>
        <w:ind w:left="0"/>
        <w:jc w:val="both"/>
      </w:pPr>
      <w:r>
        <w:rPr>
          <w:rFonts w:ascii="Times New Roman"/>
          <w:b w:val="false"/>
          <w:i w:val="false"/>
          <w:color w:val="000000"/>
          <w:sz w:val="28"/>
        </w:rPr>
        <w:t>
      1) сведения и документы, подтверждающие опыт работы потенциального поставщика, подтверждаются:</w:t>
      </w:r>
    </w:p>
    <w:bookmarkEnd w:id="13"/>
    <w:bookmarkStart w:name="z20" w:id="14"/>
    <w:p>
      <w:pPr>
        <w:spacing w:after="0"/>
        <w:ind w:left="0"/>
        <w:jc w:val="both"/>
      </w:pPr>
      <w:r>
        <w:rPr>
          <w:rFonts w:ascii="Times New Roman"/>
          <w:b w:val="false"/>
          <w:i w:val="false"/>
          <w:color w:val="000000"/>
          <w:sz w:val="28"/>
        </w:rPr>
        <w:t>
      органом, осуществляющим государственный архитектурно-строительный контроль и (или) органом, осуществляющим функции в области архитектуры и градостроительства. При этом, такое подтверждение осуществляется на основании обращений потенциальных поставщиков, от вышеуказанных органов, представленных посредством веб-портала;</w:t>
      </w:r>
    </w:p>
    <w:bookmarkEnd w:id="14"/>
    <w:bookmarkStart w:name="z21" w:id="15"/>
    <w:p>
      <w:pPr>
        <w:spacing w:after="0"/>
        <w:ind w:left="0"/>
        <w:jc w:val="both"/>
      </w:pPr>
      <w:r>
        <w:rPr>
          <w:rFonts w:ascii="Times New Roman"/>
          <w:b w:val="false"/>
          <w:i w:val="false"/>
          <w:color w:val="000000"/>
          <w:sz w:val="28"/>
        </w:rPr>
        <w:t>
      информационной системы государственной экспертной организации либо письмами аккредитованных экспертных организаций, представленных посредством веб-портала от таких экспертных организаций на основании обращений потенциальных поставщиков;</w:t>
      </w:r>
    </w:p>
    <w:bookmarkEnd w:id="15"/>
    <w:bookmarkStart w:name="z22" w:id="16"/>
    <w:p>
      <w:pPr>
        <w:spacing w:after="0"/>
        <w:ind w:left="0"/>
        <w:jc w:val="both"/>
      </w:pPr>
      <w:r>
        <w:rPr>
          <w:rFonts w:ascii="Times New Roman"/>
          <w:b w:val="false"/>
          <w:i w:val="false"/>
          <w:color w:val="000000"/>
          <w:sz w:val="28"/>
        </w:rPr>
        <w:t xml:space="preserve">
      2) соответствие документов, подтверждающих опыт работы потенциального поставщика требованиям </w:t>
      </w:r>
      <w:r>
        <w:rPr>
          <w:rFonts w:ascii="Times New Roman"/>
          <w:b w:val="false"/>
          <w:i w:val="false"/>
          <w:color w:val="000000"/>
          <w:sz w:val="28"/>
        </w:rPr>
        <w:t>пункта 253</w:t>
      </w:r>
      <w:r>
        <w:rPr>
          <w:rFonts w:ascii="Times New Roman"/>
          <w:b w:val="false"/>
          <w:i w:val="false"/>
          <w:color w:val="000000"/>
          <w:sz w:val="28"/>
        </w:rPr>
        <w:t xml:space="preserve"> настоящих Правил.";</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93-1</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xml:space="preserve">
      "93-1. Достоверность сведений и документов, подтверждающих опыт работы потенциального поставщика по инжиниринговым услугам по техническому надзору за строительно-монтажными работами за последние пять лет, подтверждаются документами, предусмотренными частью второй </w:t>
      </w:r>
      <w:r>
        <w:rPr>
          <w:rFonts w:ascii="Times New Roman"/>
          <w:b w:val="false"/>
          <w:i w:val="false"/>
          <w:color w:val="000000"/>
          <w:sz w:val="28"/>
        </w:rPr>
        <w:t>пункта 280</w:t>
      </w:r>
      <w:r>
        <w:rPr>
          <w:rFonts w:ascii="Times New Roman"/>
          <w:b w:val="false"/>
          <w:i w:val="false"/>
          <w:color w:val="000000"/>
          <w:sz w:val="28"/>
        </w:rPr>
        <w:t xml:space="preserve"> настоящих Правил, а также в порядке, предусмотренном пунктами 91 и 92 настоящих Правил.";</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"101. По результатам рассмотрения заявок потенциальных поставщиков о корректировки сведений, внесенных в электронный депозитарий, посредством веб-портала принимается одно из следующих решений в разрезе каждого опыта работы потенциального поставщика:</w:t>
      </w:r>
    </w:p>
    <w:bookmarkEnd w:id="18"/>
    <w:bookmarkStart w:name="z27" w:id="19"/>
    <w:p>
      <w:pPr>
        <w:spacing w:after="0"/>
        <w:ind w:left="0"/>
        <w:jc w:val="both"/>
      </w:pPr>
      <w:r>
        <w:rPr>
          <w:rFonts w:ascii="Times New Roman"/>
          <w:b w:val="false"/>
          <w:i w:val="false"/>
          <w:color w:val="000000"/>
          <w:sz w:val="28"/>
        </w:rPr>
        <w:t xml:space="preserve">
      1) о подтверждении корректировки, которое принимается в случае соответствия предлагаемых корректировок, указанных в заявке потенциального поставщика требованиям </w:t>
      </w:r>
      <w:r>
        <w:rPr>
          <w:rFonts w:ascii="Times New Roman"/>
          <w:b w:val="false"/>
          <w:i w:val="false"/>
          <w:color w:val="000000"/>
          <w:sz w:val="28"/>
        </w:rPr>
        <w:t>Правил</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 утвержденным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под № 10666) (далее – Правила определения общего порядка отнесения зданий и сооружений к технически и (или) технологически сложным объектам);</w:t>
      </w:r>
    </w:p>
    <w:bookmarkEnd w:id="19"/>
    <w:bookmarkStart w:name="z28" w:id="20"/>
    <w:p>
      <w:pPr>
        <w:spacing w:after="0"/>
        <w:ind w:left="0"/>
        <w:jc w:val="both"/>
      </w:pPr>
      <w:r>
        <w:rPr>
          <w:rFonts w:ascii="Times New Roman"/>
          <w:b w:val="false"/>
          <w:i w:val="false"/>
          <w:color w:val="000000"/>
          <w:sz w:val="28"/>
        </w:rPr>
        <w:t xml:space="preserve">
      2) об отказе в подтверждении корректировки, которое принимается в случае несоответствия предлагаемых корректировок, указанных в заявке потенциального поставщика требованиям </w:t>
      </w:r>
      <w:r>
        <w:rPr>
          <w:rFonts w:ascii="Times New Roman"/>
          <w:b w:val="false"/>
          <w:i w:val="false"/>
          <w:color w:val="000000"/>
          <w:sz w:val="28"/>
        </w:rPr>
        <w:t>Правил</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253</w:t>
      </w:r>
      <w:r>
        <w:rPr>
          <w:rFonts w:ascii="Times New Roman"/>
          <w:b w:val="false"/>
          <w:i w:val="false"/>
          <w:color w:val="000000"/>
          <w:sz w:val="28"/>
        </w:rPr>
        <w:t xml:space="preserve"> изложить в следующей редакции:</w:t>
      </w:r>
    </w:p>
    <w:bookmarkStart w:name="z30" w:id="21"/>
    <w:p>
      <w:pPr>
        <w:spacing w:after="0"/>
        <w:ind w:left="0"/>
        <w:jc w:val="both"/>
      </w:pPr>
      <w:r>
        <w:rPr>
          <w:rFonts w:ascii="Times New Roman"/>
          <w:b w:val="false"/>
          <w:i w:val="false"/>
          <w:color w:val="000000"/>
          <w:sz w:val="28"/>
        </w:rPr>
        <w:t>
      "253. Документом, подтверждающим опыт работы строительно-монтажных работ, являются:</w:t>
      </w:r>
    </w:p>
    <w:bookmarkEnd w:id="21"/>
    <w:bookmarkStart w:name="z31" w:id="22"/>
    <w:p>
      <w:pPr>
        <w:spacing w:after="0"/>
        <w:ind w:left="0"/>
        <w:jc w:val="both"/>
      </w:pPr>
      <w:r>
        <w:rPr>
          <w:rFonts w:ascii="Times New Roman"/>
          <w:b w:val="false"/>
          <w:i w:val="false"/>
          <w:color w:val="000000"/>
          <w:sz w:val="28"/>
        </w:rPr>
        <w:t xml:space="preserve">
      1) электронная копия акта приемки объекта строительства в эксплуатацию, по форме утвержденной в соответствии с </w:t>
      </w:r>
      <w:r>
        <w:rPr>
          <w:rFonts w:ascii="Times New Roman"/>
          <w:b w:val="false"/>
          <w:i w:val="false"/>
          <w:color w:val="000000"/>
          <w:sz w:val="28"/>
        </w:rPr>
        <w:t>подпунктом 22-2)</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 за исключением объектов текущего, среднего ремонтов, а также объектов принимаемых в эксплуатацию собственником самостоятельно;</w:t>
      </w:r>
    </w:p>
    <w:bookmarkEnd w:id="22"/>
    <w:bookmarkStart w:name="z32" w:id="23"/>
    <w:p>
      <w:pPr>
        <w:spacing w:after="0"/>
        <w:ind w:left="0"/>
        <w:jc w:val="both"/>
      </w:pPr>
      <w:r>
        <w:rPr>
          <w:rFonts w:ascii="Times New Roman"/>
          <w:b w:val="false"/>
          <w:i w:val="false"/>
          <w:color w:val="000000"/>
          <w:sz w:val="28"/>
        </w:rPr>
        <w:t xml:space="preserve">
      2) электронная копия акта выполненных работ, по форме утвержденной в соответствии с </w:t>
      </w:r>
      <w:r>
        <w:rPr>
          <w:rFonts w:ascii="Times New Roman"/>
          <w:b w:val="false"/>
          <w:i w:val="false"/>
          <w:color w:val="000000"/>
          <w:sz w:val="28"/>
        </w:rPr>
        <w:t>подпунктом 23-17)</w:t>
      </w:r>
      <w:r>
        <w:rPr>
          <w:rFonts w:ascii="Times New Roman"/>
          <w:b w:val="false"/>
          <w:i w:val="false"/>
          <w:color w:val="000000"/>
          <w:sz w:val="28"/>
        </w:rPr>
        <w:t xml:space="preserve"> статьи 20 Закона об архитектурной, градостроительной и строительной деятельности;</w:t>
      </w:r>
    </w:p>
    <w:bookmarkEnd w:id="23"/>
    <w:bookmarkStart w:name="z33" w:id="24"/>
    <w:p>
      <w:pPr>
        <w:spacing w:after="0"/>
        <w:ind w:left="0"/>
        <w:jc w:val="both"/>
      </w:pPr>
      <w:r>
        <w:rPr>
          <w:rFonts w:ascii="Times New Roman"/>
          <w:b w:val="false"/>
          <w:i w:val="false"/>
          <w:color w:val="000000"/>
          <w:sz w:val="28"/>
        </w:rPr>
        <w:t xml:space="preserve">
      3) электронная копия декларации о соответствии по форме утвержденной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статьи 20 Закона об архитектурной, градостроительной и строительной деятельности;</w:t>
      </w:r>
    </w:p>
    <w:bookmarkEnd w:id="24"/>
    <w:bookmarkStart w:name="z34" w:id="25"/>
    <w:p>
      <w:pPr>
        <w:spacing w:after="0"/>
        <w:ind w:left="0"/>
        <w:jc w:val="both"/>
      </w:pPr>
      <w:r>
        <w:rPr>
          <w:rFonts w:ascii="Times New Roman"/>
          <w:b w:val="false"/>
          <w:i w:val="false"/>
          <w:color w:val="000000"/>
          <w:sz w:val="28"/>
        </w:rPr>
        <w:t xml:space="preserve">
      4) электронная копия талона о приеме уведомления о начале строительно-монтажных работ по форме утвержденной в соответствии с подпунктом 4)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разрешениях и уведомлениях" (далее – Закон о разрешениях и уведомлениях);</w:t>
      </w:r>
    </w:p>
    <w:bookmarkEnd w:id="25"/>
    <w:bookmarkStart w:name="z35" w:id="26"/>
    <w:p>
      <w:pPr>
        <w:spacing w:after="0"/>
        <w:ind w:left="0"/>
        <w:jc w:val="both"/>
      </w:pPr>
      <w:r>
        <w:rPr>
          <w:rFonts w:ascii="Times New Roman"/>
          <w:b w:val="false"/>
          <w:i w:val="false"/>
          <w:color w:val="000000"/>
          <w:sz w:val="28"/>
        </w:rPr>
        <w:t>
      5) электронная копия положительного заключения комплексной вневедомственной экспертизы проекта.</w:t>
      </w:r>
    </w:p>
    <w:bookmarkEnd w:id="26"/>
    <w:bookmarkStart w:name="z36" w:id="27"/>
    <w:p>
      <w:pPr>
        <w:spacing w:after="0"/>
        <w:ind w:left="0"/>
        <w:jc w:val="both"/>
      </w:pPr>
      <w:r>
        <w:rPr>
          <w:rFonts w:ascii="Times New Roman"/>
          <w:b w:val="false"/>
          <w:i w:val="false"/>
          <w:color w:val="000000"/>
          <w:sz w:val="28"/>
        </w:rPr>
        <w:t>
      Потенциальный поставщик, имеющий опыт работы в электронном депозитарии со статусом "Подтверждено" вносит документы, предусмотренные подпунктами 3), 4) и 5) настоящего пункта в срок до 15 декабря 2024 года, которые применяются в государственных закупках, опубликованных с 1 января 2025 года.</w:t>
      </w:r>
    </w:p>
    <w:bookmarkEnd w:id="27"/>
    <w:bookmarkStart w:name="z37" w:id="28"/>
    <w:p>
      <w:pPr>
        <w:spacing w:after="0"/>
        <w:ind w:left="0"/>
        <w:jc w:val="both"/>
      </w:pPr>
      <w:r>
        <w:rPr>
          <w:rFonts w:ascii="Times New Roman"/>
          <w:b w:val="false"/>
          <w:i w:val="false"/>
          <w:color w:val="000000"/>
          <w:sz w:val="28"/>
        </w:rPr>
        <w:t>
      В случае, невнесения потенциальным поставщиком документов, предусмотренных подпунктами 3), 4) и 5) настоящего пункта в электронный депозитарий в срок до 15 декабря 2024 года либо принятия ведомством уполномоченного органа решения, предусмотренного подпунктом 2) пункта 96 настоящих Правил, опыт работы потенциального поставщика, находящийся в электронном депозитарии со статусом "Подтверждено" переходит в статус "Не активный" и не учитывается при расчете критериев, влияющих на конкурсное ценовое предложение потенциального поставщика.";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и </w:t>
      </w:r>
      <w:r>
        <w:rPr>
          <w:rFonts w:ascii="Times New Roman"/>
          <w:b w:val="false"/>
          <w:i w:val="false"/>
          <w:color w:val="000000"/>
          <w:sz w:val="28"/>
        </w:rPr>
        <w:t>257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265</w:t>
      </w:r>
      <w:r>
        <w:rPr>
          <w:rFonts w:ascii="Times New Roman"/>
          <w:b w:val="false"/>
          <w:i w:val="false"/>
          <w:color w:val="000000"/>
          <w:sz w:val="28"/>
        </w:rPr>
        <w:t xml:space="preserve"> изложить в следующей редакции:</w:t>
      </w:r>
    </w:p>
    <w:bookmarkStart w:name="z40" w:id="29"/>
    <w:p>
      <w:pPr>
        <w:spacing w:after="0"/>
        <w:ind w:left="0"/>
        <w:jc w:val="both"/>
      </w:pPr>
      <w:r>
        <w:rPr>
          <w:rFonts w:ascii="Times New Roman"/>
          <w:b w:val="false"/>
          <w:i w:val="false"/>
          <w:color w:val="000000"/>
          <w:sz w:val="28"/>
        </w:rPr>
        <w:t xml:space="preserve">
      "265.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w:t>
      </w:r>
    </w:p>
    <w:bookmarkEnd w:id="29"/>
    <w:bookmarkStart w:name="z41" w:id="30"/>
    <w:p>
      <w:pPr>
        <w:spacing w:after="0"/>
        <w:ind w:left="0"/>
        <w:jc w:val="both"/>
      </w:pPr>
      <w:r>
        <w:rPr>
          <w:rFonts w:ascii="Times New Roman"/>
          <w:b w:val="false"/>
          <w:i w:val="false"/>
          <w:color w:val="000000"/>
          <w:sz w:val="28"/>
        </w:rPr>
        <w:t>
      дополнить пунктом 273-1 следующего содержания:</w:t>
      </w:r>
    </w:p>
    <w:bookmarkEnd w:id="30"/>
    <w:bookmarkStart w:name="z42" w:id="31"/>
    <w:p>
      <w:pPr>
        <w:spacing w:after="0"/>
        <w:ind w:left="0"/>
        <w:jc w:val="both"/>
      </w:pPr>
      <w:r>
        <w:rPr>
          <w:rFonts w:ascii="Times New Roman"/>
          <w:b w:val="false"/>
          <w:i w:val="false"/>
          <w:color w:val="000000"/>
          <w:sz w:val="28"/>
        </w:rPr>
        <w:t>
      "273-1. Заявка потенциального поставщика, участвующего в государственных закупках инжиниринговых услуг по техническому надзору за строительно-монтажными работами, в части заполнения сведений, влияющих на конкурсное ценовое предложение, формируется веб-порталом автоматически.";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274</w:t>
      </w:r>
      <w:r>
        <w:rPr>
          <w:rFonts w:ascii="Times New Roman"/>
          <w:b w:val="false"/>
          <w:i w:val="false"/>
          <w:color w:val="000000"/>
          <w:sz w:val="28"/>
        </w:rPr>
        <w:t xml:space="preserve"> изложить в следующей редакции:</w:t>
      </w:r>
    </w:p>
    <w:bookmarkStart w:name="z44" w:id="32"/>
    <w:p>
      <w:pPr>
        <w:spacing w:after="0"/>
        <w:ind w:left="0"/>
        <w:jc w:val="both"/>
      </w:pPr>
      <w:r>
        <w:rPr>
          <w:rFonts w:ascii="Times New Roman"/>
          <w:b w:val="false"/>
          <w:i w:val="false"/>
          <w:color w:val="000000"/>
          <w:sz w:val="28"/>
        </w:rPr>
        <w:t xml:space="preserve">
      "274. При осуществлении государственных закупок строительно-монтажных работ и работ по разработке проектной (проектно-сметной) документации, а также инжиниринговых услуг по техническому надзору за строительно-монтажными работами, сведения и документы, подтверждающие опыт работы потенциального поставщика, находящихся в электронном депозитарии со статусом "Подтверждено" рассчитывается веб-порталом автоматически и обжалованию в порядке </w:t>
      </w:r>
      <w:r>
        <w:rPr>
          <w:rFonts w:ascii="Times New Roman"/>
          <w:b w:val="false"/>
          <w:i w:val="false"/>
          <w:color w:val="000000"/>
          <w:sz w:val="28"/>
        </w:rPr>
        <w:t>статьи 47</w:t>
      </w:r>
      <w:r>
        <w:rPr>
          <w:rFonts w:ascii="Times New Roman"/>
          <w:b w:val="false"/>
          <w:i w:val="false"/>
          <w:color w:val="000000"/>
          <w:sz w:val="28"/>
        </w:rPr>
        <w:t xml:space="preserve"> Закона, не подлежат.";</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280</w:t>
      </w:r>
      <w:r>
        <w:rPr>
          <w:rFonts w:ascii="Times New Roman"/>
          <w:b w:val="false"/>
          <w:i w:val="false"/>
          <w:color w:val="000000"/>
          <w:sz w:val="28"/>
        </w:rPr>
        <w:t xml:space="preserve"> изложить в следующей редакции:</w:t>
      </w:r>
    </w:p>
    <w:bookmarkStart w:name="z46" w:id="33"/>
    <w:p>
      <w:pPr>
        <w:spacing w:after="0"/>
        <w:ind w:left="0"/>
        <w:jc w:val="both"/>
      </w:pPr>
      <w:r>
        <w:rPr>
          <w:rFonts w:ascii="Times New Roman"/>
          <w:b w:val="false"/>
          <w:i w:val="false"/>
          <w:color w:val="000000"/>
          <w:sz w:val="28"/>
        </w:rPr>
        <w:t>
      "280. Документами, подтверждающими опыт работы на рынке закупаемых услуг, являются электронные копии актов оказанных услуг и счетов-фактур.</w:t>
      </w:r>
    </w:p>
    <w:bookmarkEnd w:id="33"/>
    <w:bookmarkStart w:name="z47" w:id="34"/>
    <w:p>
      <w:pPr>
        <w:spacing w:after="0"/>
        <w:ind w:left="0"/>
        <w:jc w:val="both"/>
      </w:pPr>
      <w:r>
        <w:rPr>
          <w:rFonts w:ascii="Times New Roman"/>
          <w:b w:val="false"/>
          <w:i w:val="false"/>
          <w:color w:val="000000"/>
          <w:sz w:val="28"/>
        </w:rPr>
        <w:t>
      Документами, подтверждающими опыт работы инжиниринговых услуг по техническому надзору за строительно-монтажными работами, являются:</w:t>
      </w:r>
    </w:p>
    <w:bookmarkEnd w:id="34"/>
    <w:bookmarkStart w:name="z48" w:id="35"/>
    <w:p>
      <w:pPr>
        <w:spacing w:after="0"/>
        <w:ind w:left="0"/>
        <w:jc w:val="both"/>
      </w:pPr>
      <w:r>
        <w:rPr>
          <w:rFonts w:ascii="Times New Roman"/>
          <w:b w:val="false"/>
          <w:i w:val="false"/>
          <w:color w:val="000000"/>
          <w:sz w:val="28"/>
        </w:rPr>
        <w:t xml:space="preserve">
      1) электронная копия акта приемки объекта строительства в эксплуатацию, по форме утвержденной в соответствии с </w:t>
      </w:r>
      <w:r>
        <w:rPr>
          <w:rFonts w:ascii="Times New Roman"/>
          <w:b w:val="false"/>
          <w:i w:val="false"/>
          <w:color w:val="000000"/>
          <w:sz w:val="28"/>
        </w:rPr>
        <w:t>подпунктом 22-2)</w:t>
      </w:r>
      <w:r>
        <w:rPr>
          <w:rFonts w:ascii="Times New Roman"/>
          <w:b w:val="false"/>
          <w:i w:val="false"/>
          <w:color w:val="000000"/>
          <w:sz w:val="28"/>
        </w:rPr>
        <w:t xml:space="preserve"> статьи 20 Закона об архитектурной, градостроительной и строительной деятельности, за исключением объектов текущего, среднего ремонтов, а также объектов принимаемых в эксплуатацию собственником самостоятельно;</w:t>
      </w:r>
    </w:p>
    <w:bookmarkEnd w:id="35"/>
    <w:bookmarkStart w:name="z49" w:id="36"/>
    <w:p>
      <w:pPr>
        <w:spacing w:after="0"/>
        <w:ind w:left="0"/>
        <w:jc w:val="both"/>
      </w:pPr>
      <w:r>
        <w:rPr>
          <w:rFonts w:ascii="Times New Roman"/>
          <w:b w:val="false"/>
          <w:i w:val="false"/>
          <w:color w:val="000000"/>
          <w:sz w:val="28"/>
        </w:rPr>
        <w:t xml:space="preserve">
      2) электронная копия талона о приеме уведомления о начале строительно-монтажных работ по форме утвержденной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11 Закона о разрешениях и уведомлениях;</w:t>
      </w:r>
    </w:p>
    <w:bookmarkEnd w:id="36"/>
    <w:bookmarkStart w:name="z50" w:id="37"/>
    <w:p>
      <w:pPr>
        <w:spacing w:after="0"/>
        <w:ind w:left="0"/>
        <w:jc w:val="both"/>
      </w:pPr>
      <w:r>
        <w:rPr>
          <w:rFonts w:ascii="Times New Roman"/>
          <w:b w:val="false"/>
          <w:i w:val="false"/>
          <w:color w:val="000000"/>
          <w:sz w:val="28"/>
        </w:rPr>
        <w:t>
      3) электронная копия положительного заключения комплексной вневедомственной экспертизы проекта.</w:t>
      </w:r>
    </w:p>
    <w:bookmarkEnd w:id="37"/>
    <w:bookmarkStart w:name="z51" w:id="38"/>
    <w:p>
      <w:pPr>
        <w:spacing w:after="0"/>
        <w:ind w:left="0"/>
        <w:jc w:val="both"/>
      </w:pPr>
      <w:r>
        <w:rPr>
          <w:rFonts w:ascii="Times New Roman"/>
          <w:b w:val="false"/>
          <w:i w:val="false"/>
          <w:color w:val="000000"/>
          <w:sz w:val="28"/>
        </w:rPr>
        <w:t>
      Потенциальный поставщик, имеющий опыт работы в электронном депозитарии со статусом "Подтверждено" вносит документы, предусмотренные подпунктами 2) и 3) части второй настоящего пункта в срок до 15 декабря 2024 года, которые применяются в государственных закупках, опубликованных с 1 января 2025 года.</w:t>
      </w:r>
    </w:p>
    <w:bookmarkEnd w:id="38"/>
    <w:bookmarkStart w:name="z52" w:id="39"/>
    <w:p>
      <w:pPr>
        <w:spacing w:after="0"/>
        <w:ind w:left="0"/>
        <w:jc w:val="both"/>
      </w:pPr>
      <w:r>
        <w:rPr>
          <w:rFonts w:ascii="Times New Roman"/>
          <w:b w:val="false"/>
          <w:i w:val="false"/>
          <w:color w:val="000000"/>
          <w:sz w:val="28"/>
        </w:rPr>
        <w:t>
      В случае, невнесения потенциальным поставщиком документов, предусмотренных подпунктом 2) и 3) настоящего пункта в электронный депозитарий в срок до 15 декабря 2024 года либо принятия ведомством уполномоченного органа решения, предусмотренного подпунктом 2) пункта 96 настоящих Правил, опыт работы потенциального поставщика, находящийся в электронном депозитарии со статусом "Подтверждено" переходит в статус "Не активный" и не учитывается при расчете критериев, влияющих на конкурсное ценовое предложение потенциального поставщика.";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283</w:t>
      </w:r>
      <w:r>
        <w:rPr>
          <w:rFonts w:ascii="Times New Roman"/>
          <w:b w:val="false"/>
          <w:i w:val="false"/>
          <w:color w:val="000000"/>
          <w:sz w:val="28"/>
        </w:rPr>
        <w:t xml:space="preserve"> изложить в следующей редакции:</w:t>
      </w:r>
    </w:p>
    <w:bookmarkStart w:name="z54" w:id="40"/>
    <w:p>
      <w:pPr>
        <w:spacing w:after="0"/>
        <w:ind w:left="0"/>
        <w:jc w:val="both"/>
      </w:pPr>
      <w:r>
        <w:rPr>
          <w:rFonts w:ascii="Times New Roman"/>
          <w:b w:val="false"/>
          <w:i w:val="false"/>
          <w:color w:val="000000"/>
          <w:sz w:val="28"/>
        </w:rPr>
        <w:t>
      "283. В случае, если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56" w:id="41"/>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41"/>
    <w:bookmarkStart w:name="z57" w:id="4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2"/>
    <w:bookmarkStart w:name="z58" w:id="43"/>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финансов Республики Казахстан; </w:t>
      </w:r>
    </w:p>
    <w:bookmarkEnd w:id="43"/>
    <w:bookmarkStart w:name="z59" w:id="44"/>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44"/>
    <w:bookmarkStart w:name="z60" w:id="4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2024 года № 676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64" w:id="46"/>
    <w:p>
      <w:pPr>
        <w:spacing w:after="0"/>
        <w:ind w:left="0"/>
        <w:jc w:val="left"/>
      </w:pPr>
      <w:r>
        <w:rPr>
          <w:rFonts w:ascii="Times New Roman"/>
          <w:b/>
          <w:i w:val="false"/>
          <w:color w:val="000000"/>
        </w:rPr>
        <w:t xml:space="preserve"> Перечень сведений и документов, подтверждающих опыт работы потенциального поставщика по строительно-монтажным работам и работам по разработке проектной (проектно-сметной) документации, вносимых в электронный депозитарий</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сведений и документов, подтверждающих опыт работы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потенциального поставщика по объекту строительства:</w:t>
            </w:r>
          </w:p>
          <w:p>
            <w:pPr>
              <w:spacing w:after="20"/>
              <w:ind w:left="20"/>
              <w:jc w:val="both"/>
            </w:pPr>
            <w:r>
              <w:rPr>
                <w:rFonts w:ascii="Times New Roman"/>
                <w:b w:val="false"/>
                <w:i w:val="false"/>
                <w:color w:val="000000"/>
                <w:sz w:val="20"/>
              </w:rPr>
              <w:t>1. Генеральный подрядчик;</w:t>
            </w:r>
          </w:p>
          <w:p>
            <w:pPr>
              <w:spacing w:after="20"/>
              <w:ind w:left="20"/>
              <w:jc w:val="both"/>
            </w:pPr>
            <w:r>
              <w:rPr>
                <w:rFonts w:ascii="Times New Roman"/>
                <w:b w:val="false"/>
                <w:i w:val="false"/>
                <w:color w:val="000000"/>
                <w:sz w:val="20"/>
              </w:rPr>
              <w:t>2. Генеральный проектировщик;</w:t>
            </w:r>
          </w:p>
          <w:p>
            <w:pPr>
              <w:spacing w:after="20"/>
              <w:ind w:left="20"/>
              <w:jc w:val="both"/>
            </w:pPr>
            <w:r>
              <w:rPr>
                <w:rFonts w:ascii="Times New Roman"/>
                <w:b w:val="false"/>
                <w:i w:val="false"/>
                <w:color w:val="000000"/>
                <w:sz w:val="20"/>
              </w:rPr>
              <w:t>3. Субподрядчик;</w:t>
            </w:r>
          </w:p>
          <w:p>
            <w:pPr>
              <w:spacing w:after="20"/>
              <w:ind w:left="20"/>
              <w:jc w:val="both"/>
            </w:pPr>
            <w:r>
              <w:rPr>
                <w:rFonts w:ascii="Times New Roman"/>
                <w:b w:val="false"/>
                <w:i w:val="false"/>
                <w:color w:val="000000"/>
                <w:sz w:val="20"/>
              </w:rPr>
              <w:t>4. Субпроектировщик.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подрядчике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потенциальный поставщик является генеральным подрядчиком (проектировщиком), привлекавшим субподрядчика (субпроектировщика), то дополнительно указываются сведения о таком субподрядчике (субпроектировщике) (наименование, бизнес-идентификационный номер).</w:t>
            </w:r>
          </w:p>
          <w:p>
            <w:pPr>
              <w:spacing w:after="20"/>
              <w:ind w:left="20"/>
              <w:jc w:val="both"/>
            </w:pPr>
            <w:r>
              <w:rPr>
                <w:rFonts w:ascii="Times New Roman"/>
                <w:b w:val="false"/>
                <w:i w:val="false"/>
                <w:color w:val="000000"/>
                <w:sz w:val="20"/>
              </w:rPr>
              <w:t>Если потенциальный поставщик является субподрядчиком (субпроектировщиком), то дополнительно указываются сведения о генеральном подрядчике (проектировщике) (наименование, бизнес-идентификационный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осуществлявшим инжиниринговые услуги по техническому надзору за строительно-монтажными работами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наименование, бизнес-идентификационный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возведение новых, реконструкция, расширение, техническое перевооружение, модернизация, капитальный ремонт существующих объектов (зданий, сооружений и их комплексов,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(местонахождение объекта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приемки объекта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разрешениях и уведомлениях", соответствующий заявленному потенциальным поставщиком опыту работы, за исключением работ на объектах жилищно-гражданского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документов, подтверждающих опыт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 подтверждающего опыт работы согласно Правилам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вложить электронные копии документов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2024 года № 676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68" w:id="47"/>
    <w:p>
      <w:pPr>
        <w:spacing w:after="0"/>
        <w:ind w:left="0"/>
        <w:jc w:val="left"/>
      </w:pPr>
      <w:r>
        <w:rPr>
          <w:rFonts w:ascii="Times New Roman"/>
          <w:b/>
          <w:i w:val="false"/>
          <w:color w:val="000000"/>
        </w:rPr>
        <w:t xml:space="preserve"> Перечень сведений и документов, подтверждающих опыт работы потенциального поставщика по инжиниринговым услугам по техническому надзору за строительно-монтажными работами, вносимых в электронный депозитарий</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сведений и документов, подтверждающих опыт работы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опыте работы генерального подрядчика по строительно-монтажным работам в реестре опыта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номер сведений, а также сведения о генеральном подрядчике (наименование, бизнес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(местонахождение объекта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приемки объекта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документов, подтверждающих опыт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 подтверждающего опыт работы согласно Правилам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вложить электронные копии документов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