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f3dc" w14:textId="783f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7 октября 2024 года № 743. Зарегистрирован в Министерстве юстиции Республики Казахстан 8 октября 2024 года № 35222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 в Реестре государственной регистрации нормативных правовых актов под № 10056)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электронный паспорт транспортного средства (электронный паспорт шасси транспортного средства) (при первичной регистрации транспортного средства) физического лица, посредством информационной системы национального оператора (национального администратора) системы электронных паспортов;";</w:t>
      </w:r>
    </w:p>
    <w:bookmarkEnd w:id="4"/>
    <w:bookmarkStart w:name="z10" w:id="5"/>
    <w:p>
      <w:pPr>
        <w:spacing w:after="0"/>
        <w:ind w:left="0"/>
        <w:jc w:val="both"/>
      </w:pPr>
      <w:r>
        <w:rPr>
          <w:rFonts w:ascii="Times New Roman"/>
          <w:b w:val="false"/>
          <w:i w:val="false"/>
          <w:color w:val="000000"/>
          <w:sz w:val="28"/>
        </w:rPr>
        <w:t xml:space="preserve">
      дополнить подпунктом 4-1) следующего содержания: </w:t>
      </w:r>
    </w:p>
    <w:bookmarkEnd w:id="5"/>
    <w:bookmarkStart w:name="z11" w:id="6"/>
    <w:p>
      <w:pPr>
        <w:spacing w:after="0"/>
        <w:ind w:left="0"/>
        <w:jc w:val="both"/>
      </w:pPr>
      <w:r>
        <w:rPr>
          <w:rFonts w:ascii="Times New Roman"/>
          <w:b w:val="false"/>
          <w:i w:val="false"/>
          <w:color w:val="000000"/>
          <w:sz w:val="28"/>
        </w:rPr>
        <w:t>
      "4-1) электронный паспорт транспортного средства (электронный паспорт шасси транспортного средства) (при первичной регистрации транспортного средства) юридического лица, посредством информационной системы национального оператора (национального администратора) системы электронных паспортов;";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"7) документ, подтверждающий право собственности на транспортное средство, удостоверенный нотариусом Республики Казахстан либо ЭЦП прежнего и нового владельцев в случае совершения регистрационных действий посредством ПЭП или объектов информатизации, либо договор купли-продажи, заключенный по результатам реализации арестованного имущества, или постановление судебного исполнителя о передаче взыскателю движимого имущества в натуре без реализации;";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5" w:id="8"/>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0"/>
    <w:bookmarkStart w:name="z18"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1"/>
    <w:bookmarkStart w:name="z19"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пятого абзаца пункта 1, который вводится в действие с 1 января 2025 года и седьмого абзаца пункта 1, который вводится в действие с 20 октября 2024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743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25" w:id="15"/>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свидетельства о регистрации транспортных средств и государственных регистрационных номерных знаков"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2.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3. Актуализация (корректировка) сведений о регистрации, учете и снятии с учета отдельных видов транспортных средств;</w:t>
            </w:r>
          </w:p>
          <w:p>
            <w:pPr>
              <w:spacing w:after="20"/>
              <w:ind w:left="20"/>
              <w:jc w:val="both"/>
            </w:pPr>
            <w:r>
              <w:rPr>
                <w:rFonts w:ascii="Times New Roman"/>
                <w:b w:val="false"/>
                <w:i w:val="false"/>
                <w:color w:val="000000"/>
                <w:sz w:val="20"/>
              </w:rPr>
              <w:t>4.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- 90 минут (при первичной регистрации транспортного средства 120 минут);</w:t>
            </w:r>
          </w:p>
          <w:p>
            <w:pPr>
              <w:spacing w:after="20"/>
              <w:ind w:left="20"/>
              <w:jc w:val="both"/>
            </w:pPr>
            <w:r>
              <w:rPr>
                <w:rFonts w:ascii="Times New Roman"/>
                <w:b w:val="false"/>
                <w:i w:val="false"/>
                <w:color w:val="000000"/>
                <w:sz w:val="20"/>
              </w:rPr>
              <w:t>Через ПЭП и иные объекты информатизации – 60 минут (при первичной регистрации транспортного средства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регистрации ТС – выдача СРТС, ГРНЗ;</w:t>
            </w:r>
          </w:p>
          <w:p>
            <w:pPr>
              <w:spacing w:after="20"/>
              <w:ind w:left="20"/>
              <w:jc w:val="both"/>
            </w:pPr>
            <w:r>
              <w:rPr>
                <w:rFonts w:ascii="Times New Roman"/>
                <w:b w:val="false"/>
                <w:i w:val="false"/>
                <w:color w:val="000000"/>
                <w:sz w:val="20"/>
              </w:rPr>
              <w:t>2) При снятии с учета ТС – снятие с учета ТС путем внесения соответствующих сведений в ЕИС;</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государственной регистрации транспортных средств взымаются:</w:t>
            </w:r>
          </w:p>
          <w:p>
            <w:pPr>
              <w:spacing w:after="20"/>
              <w:ind w:left="20"/>
              <w:jc w:val="both"/>
            </w:pPr>
            <w:r>
              <w:rPr>
                <w:rFonts w:ascii="Times New Roman"/>
                <w:b w:val="false"/>
                <w:i w:val="false"/>
                <w:color w:val="000000"/>
                <w:sz w:val="20"/>
              </w:rPr>
              <w:t xml:space="preserve">Обязательный регистрационный сбор и государственные пошлины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 xml:space="preserve">утилизационный платеж, исчисляемый на основании Методики расчета утилизационного платежа, утвержденной </w:t>
            </w:r>
            <w:r>
              <w:rPr>
                <w:rFonts w:ascii="Times New Roman"/>
                <w:b w:val="false"/>
                <w:i w:val="false"/>
                <w:color w:val="000000"/>
                <w:sz w:val="20"/>
              </w:rPr>
              <w:t>приказом</w:t>
            </w:r>
            <w:r>
              <w:rPr>
                <w:rFonts w:ascii="Times New Roman"/>
                <w:b w:val="false"/>
                <w:i w:val="false"/>
                <w:color w:val="000000"/>
                <w:sz w:val="20"/>
              </w:rPr>
              <w:t xml:space="preserve"> и.о. Министра экологии, геологии и природных ресурсов Республики Казахстан от 2 ноября 2021 года № 448, при первичной регистрации транспортного средства (зарегистрирован в Реестре государственной регистрации нормативных правовых актов под № 25100);</w:t>
            </w:r>
          </w:p>
          <w:p>
            <w:pPr>
              <w:spacing w:after="20"/>
              <w:ind w:left="20"/>
              <w:jc w:val="both"/>
            </w:pPr>
            <w:r>
              <w:rPr>
                <w:rFonts w:ascii="Times New Roman"/>
                <w:b w:val="false"/>
                <w:i w:val="false"/>
                <w:color w:val="000000"/>
                <w:sz w:val="20"/>
              </w:rPr>
              <w:t>2) Снятие с учета ТС осуществляется на бесплатной основе;</w:t>
            </w:r>
          </w:p>
          <w:p>
            <w:pPr>
              <w:spacing w:after="20"/>
              <w:ind w:left="20"/>
              <w:jc w:val="both"/>
            </w:pPr>
            <w:r>
              <w:rPr>
                <w:rFonts w:ascii="Times New Roman"/>
                <w:b w:val="false"/>
                <w:i w:val="false"/>
                <w:color w:val="000000"/>
                <w:sz w:val="20"/>
              </w:rPr>
              <w:t xml:space="preserve"> 3) При актуализации (корректировке) сведений о ТС:</w:t>
            </w:r>
          </w:p>
          <w:p>
            <w:pPr>
              <w:spacing w:after="20"/>
              <w:ind w:left="20"/>
              <w:jc w:val="both"/>
            </w:pPr>
            <w:r>
              <w:rPr>
                <w:rFonts w:ascii="Times New Roman"/>
                <w:b w:val="false"/>
                <w:i w:val="false"/>
                <w:color w:val="000000"/>
                <w:sz w:val="20"/>
              </w:rPr>
              <w:t xml:space="preserve">в случае замены СРТС взымаютсярегистрационный сбор и государственная пошлина за выдачу СРТС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если замена СРТС не требуется услуга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регистрации, актуализации (корректировки) сведений о регистрации, учете и снятии с учета отдельных видов транспортных средств их владельцы (представители владельцев) представляются:</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 xml:space="preserve">документы, подтверждающие уплату регистрационного сбора и государственных пошлин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сертификат о внесении утилизационного платежа при первичной регистрации транспортного средства;</w:t>
            </w:r>
          </w:p>
          <w:p>
            <w:pPr>
              <w:spacing w:after="20"/>
              <w:ind w:left="20"/>
              <w:jc w:val="both"/>
            </w:pPr>
            <w:r>
              <w:rPr>
                <w:rFonts w:ascii="Times New Roman"/>
                <w:b w:val="false"/>
                <w:i w:val="false"/>
                <w:color w:val="000000"/>
                <w:sz w:val="20"/>
              </w:rPr>
              <w:t>электронный паспорт транспортного средства (электронный паспорт шасси транспортного средства) (при первичной регистрации транспортного средства), посредством информационной системы национального оператора системы электронных паспортов транспортных средств;</w:t>
            </w:r>
          </w:p>
          <w:p>
            <w:pPr>
              <w:spacing w:after="20"/>
              <w:ind w:left="20"/>
              <w:jc w:val="both"/>
            </w:pPr>
            <w:r>
              <w:rPr>
                <w:rFonts w:ascii="Times New Roman"/>
                <w:b w:val="false"/>
                <w:i w:val="false"/>
                <w:color w:val="000000"/>
                <w:sz w:val="20"/>
              </w:rPr>
              <w:t>документы о временном ввозе транспортных средств на таможенную территорию ЕАЭС, выданные таможенными органами (в случае регистрации на ограниченный срок временно везенного транспортного средства);</w:t>
            </w:r>
          </w:p>
          <w:p>
            <w:pPr>
              <w:spacing w:after="20"/>
              <w:ind w:left="20"/>
              <w:jc w:val="both"/>
            </w:pPr>
            <w:r>
              <w:rPr>
                <w:rFonts w:ascii="Times New Roman"/>
                <w:b w:val="false"/>
                <w:i w:val="false"/>
                <w:color w:val="000000"/>
                <w:sz w:val="20"/>
              </w:rPr>
              <w:t>прежние СРТС и ГРНЗ (при их наличии);</w:t>
            </w:r>
          </w:p>
          <w:p>
            <w:pPr>
              <w:spacing w:after="20"/>
              <w:ind w:left="20"/>
              <w:jc w:val="both"/>
            </w:pPr>
            <w:r>
              <w:rPr>
                <w:rFonts w:ascii="Times New Roman"/>
                <w:b w:val="false"/>
                <w:i w:val="false"/>
                <w:color w:val="000000"/>
                <w:sz w:val="20"/>
              </w:rPr>
              <w:t>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документ, подтверждающий право собственности на транспортное средство;</w:t>
            </w:r>
          </w:p>
          <w:p>
            <w:pPr>
              <w:spacing w:after="20"/>
              <w:ind w:left="20"/>
              <w:jc w:val="both"/>
            </w:pPr>
            <w:r>
              <w:rPr>
                <w:rFonts w:ascii="Times New Roman"/>
                <w:b w:val="false"/>
                <w:i w:val="false"/>
                <w:color w:val="000000"/>
                <w:sz w:val="20"/>
              </w:rPr>
              <w:t xml:space="preserve">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если в конструкцию транспортного средства внесены изменения до его регистрации;</w:t>
            </w:r>
          </w:p>
          <w:p>
            <w:pPr>
              <w:spacing w:after="20"/>
              <w:ind w:left="20"/>
              <w:jc w:val="both"/>
            </w:pPr>
            <w:r>
              <w:rPr>
                <w:rFonts w:ascii="Times New Roman"/>
                <w:b w:val="false"/>
                <w:i w:val="false"/>
                <w:color w:val="000000"/>
                <w:sz w:val="20"/>
              </w:rPr>
              <w:t>акт осмотра транспортного средства.</w:t>
            </w:r>
          </w:p>
          <w:p>
            <w:pPr>
              <w:spacing w:after="20"/>
              <w:ind w:left="20"/>
              <w:jc w:val="both"/>
            </w:pPr>
            <w:r>
              <w:rPr>
                <w:rFonts w:ascii="Times New Roman"/>
                <w:b w:val="false"/>
                <w:i w:val="false"/>
                <w:color w:val="000000"/>
                <w:sz w:val="20"/>
              </w:rPr>
              <w:t>2) При обращении в Государственную корпорацию для снятия с учета транспортных средств их владельцы (представители владельцев) представляются:</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 подтверждающий право собственности на транспортное средство;</w:t>
            </w:r>
          </w:p>
          <w:p>
            <w:pPr>
              <w:spacing w:after="20"/>
              <w:ind w:left="20"/>
              <w:jc w:val="both"/>
            </w:pPr>
            <w:r>
              <w:rPr>
                <w:rFonts w:ascii="Times New Roman"/>
                <w:b w:val="false"/>
                <w:i w:val="false"/>
                <w:color w:val="000000"/>
                <w:sz w:val="20"/>
              </w:rPr>
              <w:t>прежние СРТС и ГРНЗ.</w:t>
            </w:r>
          </w:p>
          <w:p>
            <w:pPr>
              <w:spacing w:after="20"/>
              <w:ind w:left="20"/>
              <w:jc w:val="both"/>
            </w:pPr>
            <w:r>
              <w:rPr>
                <w:rFonts w:ascii="Times New Roman"/>
                <w:b w:val="false"/>
                <w:i w:val="false"/>
                <w:color w:val="000000"/>
                <w:sz w:val="20"/>
              </w:rPr>
              <w:t>3) При обращении через ПЭП или объекты информатизации для регистрации транспортных средств представляются:</w:t>
            </w:r>
          </w:p>
          <w:p>
            <w:pPr>
              <w:spacing w:after="20"/>
              <w:ind w:left="20"/>
              <w:jc w:val="both"/>
            </w:pPr>
            <w:r>
              <w:rPr>
                <w:rFonts w:ascii="Times New Roman"/>
                <w:b w:val="false"/>
                <w:i w:val="false"/>
                <w:color w:val="000000"/>
                <w:sz w:val="20"/>
              </w:rPr>
              <w:t xml:space="preserve">сканированные копии документов, подтверждающих уплату регистрационного сбора и государственных пошлин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а также сертификата о внесении утилизационного платежа (при первичной регистрации транспортного средства) за исключением случаев получения указанных сведений через соответствующие информационные системы государственных органов;</w:t>
            </w:r>
          </w:p>
          <w:p>
            <w:pPr>
              <w:spacing w:after="20"/>
              <w:ind w:left="20"/>
              <w:jc w:val="both"/>
            </w:pPr>
            <w:r>
              <w:rPr>
                <w:rFonts w:ascii="Times New Roman"/>
                <w:b w:val="false"/>
                <w:i w:val="false"/>
                <w:color w:val="000000"/>
                <w:sz w:val="20"/>
              </w:rPr>
              <w:t>сканированная копия паспорта транспортного средства (паспорт шасси транспортного средства). 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p>
            <w:pPr>
              <w:spacing w:after="20"/>
              <w:ind w:left="20"/>
              <w:jc w:val="both"/>
            </w:pPr>
            <w:r>
              <w:rPr>
                <w:rFonts w:ascii="Times New Roman"/>
                <w:b w:val="false"/>
                <w:i w:val="false"/>
                <w:color w:val="000000"/>
                <w:sz w:val="20"/>
              </w:rPr>
              <w:t>сканированная копия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сканированная копия документа, подтверждающего право собственности на транспортное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или представление не в полном объеме документов, необходимых для оказания государственной услуги, представление документов, нечитаемых, исполненных карандашом, имеющих подчистки, приписки, зачеркнутые слова, не оговоренные исправления, а также установление недостоверности документов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p>
            <w:pPr>
              <w:spacing w:after="20"/>
              <w:ind w:left="20"/>
              <w:jc w:val="both"/>
            </w:pPr>
            <w:r>
              <w:rPr>
                <w:rFonts w:ascii="Times New Roman"/>
                <w:b w:val="false"/>
                <w:i w:val="false"/>
                <w:color w:val="000000"/>
                <w:sz w:val="20"/>
              </w:rPr>
              <w:t>4)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5) нахождение данных услугополучателя (представителя услугополучателя) либо транспортного средства в базе розыска;</w:t>
            </w:r>
          </w:p>
          <w:p>
            <w:pPr>
              <w:spacing w:after="20"/>
              <w:ind w:left="20"/>
              <w:jc w:val="both"/>
            </w:pPr>
            <w:r>
              <w:rPr>
                <w:rFonts w:ascii="Times New Roman"/>
                <w:b w:val="false"/>
                <w:i w:val="false"/>
                <w:color w:val="000000"/>
                <w:sz w:val="20"/>
              </w:rPr>
              <w:t>6) нахождение данных услугополучателя(представителя услугополучателя)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7)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20"/>
              <w:ind w:left="20"/>
              <w:jc w:val="both"/>
            </w:pPr>
            <w:r>
              <w:rPr>
                <w:rFonts w:ascii="Times New Roman"/>
                <w:b w:val="false"/>
                <w:i w:val="false"/>
                <w:color w:val="000000"/>
                <w:sz w:val="20"/>
              </w:rPr>
              <w:t>8) не снятия транспортного средства с регистрационного учета по месту последней регистрации в другом государстве (при первичной регистрации);</w:t>
            </w:r>
          </w:p>
          <w:p>
            <w:pPr>
              <w:spacing w:after="20"/>
              <w:ind w:left="20"/>
              <w:jc w:val="both"/>
            </w:pPr>
            <w:r>
              <w:rPr>
                <w:rFonts w:ascii="Times New Roman"/>
                <w:b w:val="false"/>
                <w:i w:val="false"/>
                <w:color w:val="000000"/>
                <w:sz w:val="20"/>
              </w:rPr>
              <w:t>9) непредставление транспортного средства для осмотра при его первичной регистрации или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743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29" w:id="1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дубликата государственного регистрационного номерного знака для транспортных средств"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Госкорпорацию и ПЭП – для городов Астана и Алматы в течении 5 рабочих дней, для областей и города Шымкента в течении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ГРНЗ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 2,8 МРП.</w:t>
            </w:r>
          </w:p>
          <w:p>
            <w:pPr>
              <w:spacing w:after="20"/>
              <w:ind w:left="20"/>
              <w:jc w:val="both"/>
            </w:pPr>
            <w:r>
              <w:rPr>
                <w:rFonts w:ascii="Times New Roman"/>
                <w:b w:val="false"/>
                <w:i w:val="false"/>
                <w:color w:val="000000"/>
                <w:sz w:val="20"/>
              </w:rPr>
              <w:t>1 шт. – 1,4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Госкорпорацию:</w:t>
            </w:r>
          </w:p>
          <w:p>
            <w:pPr>
              <w:spacing w:after="20"/>
              <w:ind w:left="20"/>
              <w:jc w:val="both"/>
            </w:pPr>
            <w:r>
              <w:rPr>
                <w:rFonts w:ascii="Times New Roman"/>
                <w:b w:val="false"/>
                <w:i w:val="false"/>
                <w:color w:val="000000"/>
                <w:sz w:val="20"/>
              </w:rPr>
              <w:t>1)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2) оплата пошлины за ГРНЗ;</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p>
            <w:pPr>
              <w:spacing w:after="20"/>
              <w:ind w:left="20"/>
              <w:jc w:val="both"/>
            </w:pPr>
            <w:r>
              <w:rPr>
                <w:rFonts w:ascii="Times New Roman"/>
                <w:b w:val="false"/>
                <w:i w:val="false"/>
                <w:color w:val="000000"/>
                <w:sz w:val="20"/>
              </w:rPr>
              <w:t>ПЭП:</w:t>
            </w:r>
          </w:p>
          <w:p>
            <w:pPr>
              <w:spacing w:after="20"/>
              <w:ind w:left="20"/>
              <w:jc w:val="both"/>
            </w:pPr>
            <w:r>
              <w:rPr>
                <w:rFonts w:ascii="Times New Roman"/>
                <w:b w:val="false"/>
                <w:i w:val="false"/>
                <w:color w:val="000000"/>
                <w:sz w:val="20"/>
              </w:rPr>
              <w:t>1) услугополучатель на ПЭП активирует электронно-цифровую подпись (далее - ЭЦП), заполняет все реквизитные данные с выбором присвоенного на его имя ГРНЗ;</w:t>
            </w:r>
          </w:p>
          <w:p>
            <w:pPr>
              <w:spacing w:after="20"/>
              <w:ind w:left="20"/>
              <w:jc w:val="both"/>
            </w:pPr>
            <w:r>
              <w:rPr>
                <w:rFonts w:ascii="Times New Roman"/>
                <w:b w:val="false"/>
                <w:i w:val="false"/>
                <w:color w:val="000000"/>
                <w:sz w:val="20"/>
              </w:rPr>
              <w:t>2) производит уплату пошлины за ГРНЗ через платежный шлюз портала "электронного правительства";</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отсутствии сведений в информационных системах об оплате государственной пошлины;</w:t>
            </w:r>
          </w:p>
          <w:p>
            <w:pPr>
              <w:spacing w:after="20"/>
              <w:ind w:left="20"/>
              <w:jc w:val="both"/>
            </w:pP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5)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6) нахождении владельца (или его представителя) и (или) транспортного средства в розыске;</w:t>
            </w:r>
          </w:p>
          <w:p>
            <w:pPr>
              <w:spacing w:after="20"/>
              <w:ind w:left="20"/>
              <w:jc w:val="both"/>
            </w:pPr>
            <w:r>
              <w:rPr>
                <w:rFonts w:ascii="Times New Roman"/>
                <w:b w:val="false"/>
                <w:i w:val="false"/>
                <w:color w:val="000000"/>
                <w:sz w:val="20"/>
              </w:rPr>
              <w:t xml:space="preserve">7) в случае отсутствия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743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p>
        </w:tc>
      </w:tr>
    </w:tbl>
    <w:bookmarkStart w:name="z32" w:id="1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водительских удостоверений"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Выдача водительских удостоверений;</w:t>
            </w:r>
          </w:p>
          <w:p>
            <w:pPr>
              <w:spacing w:after="20"/>
              <w:ind w:left="20"/>
              <w:jc w:val="both"/>
            </w:pPr>
            <w:r>
              <w:rPr>
                <w:rFonts w:ascii="Times New Roman"/>
                <w:b w:val="false"/>
                <w:i w:val="false"/>
                <w:color w:val="000000"/>
                <w:sz w:val="20"/>
              </w:rPr>
              <w:t>2. Выдача водительских удостоверений впервые и после лишения права на управление транспортными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- 120 минут;</w:t>
            </w:r>
          </w:p>
          <w:p>
            <w:pPr>
              <w:spacing w:after="20"/>
              <w:ind w:left="20"/>
              <w:jc w:val="both"/>
            </w:pPr>
            <w:r>
              <w:rPr>
                <w:rFonts w:ascii="Times New Roman"/>
                <w:b w:val="false"/>
                <w:i w:val="false"/>
                <w:color w:val="000000"/>
                <w:sz w:val="20"/>
              </w:rPr>
              <w:t>Через ПЭП, объекты информатизации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выдачу водительского удостоверения – 1,25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выдачи водительского удостоверения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p>
            <w:pPr>
              <w:spacing w:after="20"/>
              <w:ind w:left="20"/>
              <w:jc w:val="both"/>
            </w:pPr>
            <w:r>
              <w:rPr>
                <w:rFonts w:ascii="Times New Roman"/>
                <w:b w:val="false"/>
                <w:i w:val="false"/>
                <w:color w:val="000000"/>
                <w:sz w:val="20"/>
              </w:rPr>
              <w:t>свидетельство об окончании курсов обучения по средством информационной системы профессиональных объединений по подготовке водителей транспортных средств либо АИС "Автошкола".</w:t>
            </w:r>
          </w:p>
          <w:p>
            <w:pPr>
              <w:spacing w:after="20"/>
              <w:ind w:left="20"/>
              <w:jc w:val="both"/>
            </w:pPr>
            <w:r>
              <w:rPr>
                <w:rFonts w:ascii="Times New Roman"/>
                <w:b w:val="false"/>
                <w:i w:val="false"/>
                <w:color w:val="000000"/>
                <w:sz w:val="20"/>
              </w:rPr>
              <w:t>2) При обращении через ПЭП, объекты информатизации для выдачи водительского удостоверения (за исключением случаев выдачи водительских удостоверений впервые и после лишения права на управление транспортными средствами)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наличие у услугополучателя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