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0d0f" w14:textId="c240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 февраля 2016 года № 49 "Об утверждении проверочного листа за соблюдением законодательства Республики Казахстан о регулировании торговой деятельности" и изменений и дополнений в совместный приказ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p>
      <w:pPr>
        <w:spacing w:after="0"/>
        <w:ind w:left="0"/>
        <w:jc w:val="both"/>
      </w:pPr>
      <w:r>
        <w:rPr>
          <w:rFonts w:ascii="Times New Roman"/>
          <w:b w:val="false"/>
          <w:i w:val="false"/>
          <w:color w:val="000000"/>
          <w:sz w:val="28"/>
        </w:rPr>
        <w:t>Совместный приказ и.о. Министра торговли и интеграции Республики Казахстан от 30 сентября 2024 года № 344-НҚ и Заместителя Премьер-Министра - Министра национальной экономики Республики Казахстан от 4 октября 2024 года № 86. Зарегистрирован в Министерстве юстиции Республики Казахстан 7 октября 2024 года № 35212.</w:t>
      </w:r>
    </w:p>
    <w:p>
      <w:pPr>
        <w:spacing w:after="0"/>
        <w:ind w:left="0"/>
        <w:jc w:val="both"/>
      </w:pPr>
      <w:bookmarkStart w:name="z4" w:id="0"/>
      <w:r>
        <w:rPr>
          <w:rFonts w:ascii="Times New Roman"/>
          <w:b w:val="false"/>
          <w:i w:val="false"/>
          <w:color w:val="000000"/>
          <w:sz w:val="28"/>
        </w:rPr>
        <w:t>
      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совместным приказом и.о. Министра торговли и интеграции РК от 18.11.2025 </w:t>
      </w:r>
      <w:r>
        <w:rPr>
          <w:rFonts w:ascii="Times New Roman"/>
          <w:b w:val="false"/>
          <w:i w:val="false"/>
          <w:color w:val="000000"/>
          <w:sz w:val="28"/>
        </w:rPr>
        <w:t>№ 327-НҚ</w:t>
      </w:r>
      <w:r>
        <w:rPr>
          <w:rFonts w:ascii="Times New Roman"/>
          <w:b w:val="false"/>
          <w:i w:val="false"/>
          <w:color w:val="ff0000"/>
          <w:sz w:val="28"/>
        </w:rPr>
        <w:t xml:space="preserve"> и Заместителя Премьер-Министра – Министра национальной экономики РК от 25.11.2025 № 124.</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(зарегистрирован в Реестре государственной регистрации нормативных правовых актов за № 23431)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 w:id="2"/>
    <w:p>
      <w:pPr>
        <w:spacing w:after="0"/>
        <w:ind w:left="0"/>
        <w:jc w:val="both"/>
      </w:pPr>
      <w:r>
        <w:rPr>
          <w:rFonts w:ascii="Times New Roman"/>
          <w:b w:val="false"/>
          <w:i w:val="false"/>
          <w:color w:val="000000"/>
          <w:sz w:val="28"/>
        </w:rPr>
        <w:t xml:space="preserve">
      "Об утверждении критериев оценки степени риска и проверочного листа за соблюдением законодательства Республики Казахстан в сфере регулирования торговой деятельности";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5" w:id="3"/>
    <w:p>
      <w:pPr>
        <w:spacing w:after="0"/>
        <w:ind w:left="0"/>
        <w:jc w:val="both"/>
      </w:pPr>
      <w:r>
        <w:rPr>
          <w:rFonts w:ascii="Times New Roman"/>
          <w:b w:val="false"/>
          <w:i w:val="false"/>
          <w:color w:val="000000"/>
          <w:sz w:val="28"/>
        </w:rPr>
        <w:t>
      "1. Утвердить:</w:t>
      </w:r>
    </w:p>
    <w:bookmarkEnd w:id="3"/>
    <w:bookmarkStart w:name="z16" w:id="4"/>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в сфере регулирования торговой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7" w:id="5"/>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в сфере регулирования торговой деятельности в отношении субъектов внутренней торговли в части ценообразования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8" w:id="6"/>
    <w:p>
      <w:pPr>
        <w:spacing w:after="0"/>
        <w:ind w:left="0"/>
        <w:jc w:val="both"/>
      </w:pPr>
      <w:r>
        <w:rPr>
          <w:rFonts w:ascii="Times New Roman"/>
          <w:b w:val="false"/>
          <w:i w:val="false"/>
          <w:color w:val="000000"/>
          <w:sz w:val="28"/>
        </w:rPr>
        <w:t>
      3) проверочный лист за соблюдением законодательства Республики Казахстан в сфере регулирования торговой деятельности в отношении торговых рынков, торговых сетей и крупных торговых объектов согласно приложению 3 к настоящему совместному приказу;</w:t>
      </w:r>
    </w:p>
    <w:bookmarkEnd w:id="6"/>
    <w:bookmarkStart w:name="z19" w:id="7"/>
    <w:p>
      <w:pPr>
        <w:spacing w:after="0"/>
        <w:ind w:left="0"/>
        <w:jc w:val="both"/>
      </w:pPr>
      <w:r>
        <w:rPr>
          <w:rFonts w:ascii="Times New Roman"/>
          <w:b w:val="false"/>
          <w:i w:val="false"/>
          <w:color w:val="000000"/>
          <w:sz w:val="28"/>
        </w:rPr>
        <w:t>
      4) проверочный лист за соблюдением законодательства Республики Казахстан в сфере регулирования торговой деятельности в отношении оптово-распределительных центров согласно приложению 4 к настоящему совместному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21" w:id="8"/>
    <w:p>
      <w:pPr>
        <w:spacing w:after="0"/>
        <w:ind w:left="0"/>
        <w:jc w:val="both"/>
      </w:pPr>
      <w:r>
        <w:rPr>
          <w:rFonts w:ascii="Times New Roman"/>
          <w:b w:val="false"/>
          <w:i w:val="false"/>
          <w:color w:val="000000"/>
          <w:sz w:val="28"/>
        </w:rPr>
        <w:t xml:space="preserve">
      дополнить приложениями 3 и 4,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End w:id="8"/>
    <w:bookmarkStart w:name="z22" w:id="9"/>
    <w:p>
      <w:pPr>
        <w:spacing w:after="0"/>
        <w:ind w:left="0"/>
        <w:jc w:val="both"/>
      </w:pPr>
      <w:r>
        <w:rPr>
          <w:rFonts w:ascii="Times New Roman"/>
          <w:b w:val="false"/>
          <w:i w:val="false"/>
          <w:color w:val="000000"/>
          <w:sz w:val="28"/>
        </w:rPr>
        <w:t>
      3. Комитету торговли Министерства торговли и интеграции Республики Казахстан в установленном законодательством порядке обеспечить:</w:t>
      </w:r>
    </w:p>
    <w:bookmarkEnd w:id="9"/>
    <w:bookmarkStart w:name="z23"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24" w:id="11"/>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11"/>
    <w:bookmarkStart w:name="z25" w:id="12"/>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торговли и интеграции Республики Казахстан.</w:t>
      </w:r>
    </w:p>
    <w:bookmarkEnd w:id="12"/>
    <w:bookmarkStart w:name="z26" w:id="13"/>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Бижанова</w:t>
            </w:r>
            <w:r>
              <w:rPr>
                <w:rFonts w:ascii="Times New Roman"/>
                <w:b w:val="false"/>
                <w:i w:val="false"/>
                <w:color w:val="000000"/>
                <w:sz w:val="20"/>
              </w:rPr>
              <w:t>
</w:t>
            </w:r>
          </w:p>
        </w:tc>
      </w:tr>
    </w:tbl>
    <w:p>
      <w:pPr>
        <w:spacing w:after="0"/>
        <w:ind w:left="0"/>
        <w:jc w:val="both"/>
      </w:pPr>
      <w:bookmarkStart w:name="z2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 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bl>
    <w:p>
      <w:pPr>
        <w:spacing w:after="0"/>
        <w:ind w:left="0"/>
        <w:jc w:val="both"/>
      </w:pPr>
      <w:r>
        <w:rPr>
          <w:rFonts w:ascii="Times New Roman"/>
          <w:b w:val="false"/>
          <w:i w:val="false"/>
          <w:color w:val="ff0000"/>
          <w:sz w:val="28"/>
        </w:rPr>
        <w:t xml:space="preserve">
      Сноска. Утратил силу совместным приказом и.о. Министра торговли и интеграции РК от 18.11.2025 </w:t>
      </w:r>
      <w:r>
        <w:rPr>
          <w:rFonts w:ascii="Times New Roman"/>
          <w:b w:val="false"/>
          <w:i w:val="false"/>
          <w:color w:val="ff0000"/>
          <w:sz w:val="28"/>
        </w:rPr>
        <w:t>№ 327-НҚ</w:t>
      </w:r>
      <w:r>
        <w:rPr>
          <w:rFonts w:ascii="Times New Roman"/>
          <w:b w:val="false"/>
          <w:i w:val="false"/>
          <w:color w:val="ff0000"/>
          <w:sz w:val="28"/>
        </w:rPr>
        <w:t xml:space="preserve"> и Заместителя Премьер-Министра – Министра национальной экономики РК от 25.11.2025 № 124.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 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37" w:id="15"/>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в сфере регулирования торговой деятельности</w:t>
      </w:r>
    </w:p>
    <w:bookmarkEnd w:id="15"/>
    <w:bookmarkStart w:name="z38" w:id="16"/>
    <w:p>
      <w:pPr>
        <w:spacing w:after="0"/>
        <w:ind w:left="0"/>
        <w:jc w:val="left"/>
      </w:pPr>
      <w:r>
        <w:rPr>
          <w:rFonts w:ascii="Times New Roman"/>
          <w:b/>
          <w:i w:val="false"/>
          <w:color w:val="000000"/>
        </w:rPr>
        <w:t xml:space="preserve"> Глава 1. Общие положения</w:t>
      </w:r>
    </w:p>
    <w:bookmarkEnd w:id="16"/>
    <w:bookmarkStart w:name="z39" w:id="17"/>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в сфере регулирования торговой деятельности (далее – Критерии) разработаны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(далее – Кодекс), а также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w:t>
      </w:r>
    </w:p>
    <w:bookmarkEnd w:id="17"/>
    <w:bookmarkStart w:name="z40" w:id="1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8"/>
    <w:bookmarkStart w:name="z41" w:id="19"/>
    <w:p>
      <w:pPr>
        <w:spacing w:after="0"/>
        <w:ind w:left="0"/>
        <w:jc w:val="both"/>
      </w:pPr>
      <w:r>
        <w:rPr>
          <w:rFonts w:ascii="Times New Roman"/>
          <w:b w:val="false"/>
          <w:i w:val="false"/>
          <w:color w:val="000000"/>
          <w:sz w:val="28"/>
        </w:rPr>
        <w:t>
      1) субъекты (объекты) контроля – индивидуальные предприниматели и юридические лица за деятельностью которых осуществляется контроль за соблюдением законодательства Республики Казахстан о регулировании торговой деятельности;</w:t>
      </w:r>
    </w:p>
    <w:bookmarkEnd w:id="19"/>
    <w:bookmarkStart w:name="z42" w:id="20"/>
    <w:p>
      <w:pPr>
        <w:spacing w:after="0"/>
        <w:ind w:left="0"/>
        <w:jc w:val="both"/>
      </w:pPr>
      <w:r>
        <w:rPr>
          <w:rFonts w:ascii="Times New Roman"/>
          <w:b w:val="false"/>
          <w:i w:val="false"/>
          <w:color w:val="000000"/>
          <w:sz w:val="28"/>
        </w:rPr>
        <w:t>
      2) балл – количественная мера исчисления риска;</w:t>
      </w:r>
    </w:p>
    <w:bookmarkEnd w:id="20"/>
    <w:bookmarkStart w:name="z43" w:id="21"/>
    <w:p>
      <w:pPr>
        <w:spacing w:after="0"/>
        <w:ind w:left="0"/>
        <w:jc w:val="both"/>
      </w:pPr>
      <w:r>
        <w:rPr>
          <w:rFonts w:ascii="Times New Roman"/>
          <w:b w:val="false"/>
          <w:i w:val="false"/>
          <w:color w:val="000000"/>
          <w:sz w:val="28"/>
        </w:rPr>
        <w:t>
      3) незначительные нарушения – нарушение, связанное с отсутствием товарно-сопроводительных документов на продовольственные товары, оформленных изготовителем или поставщиком (продавцом);</w:t>
      </w:r>
    </w:p>
    <w:bookmarkEnd w:id="21"/>
    <w:bookmarkStart w:name="z44" w:id="22"/>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2"/>
    <w:bookmarkStart w:name="z45" w:id="23"/>
    <w:p>
      <w:pPr>
        <w:spacing w:after="0"/>
        <w:ind w:left="0"/>
        <w:jc w:val="both"/>
      </w:pPr>
      <w:r>
        <w:rPr>
          <w:rFonts w:ascii="Times New Roman"/>
          <w:b w:val="false"/>
          <w:i w:val="false"/>
          <w:color w:val="000000"/>
          <w:sz w:val="28"/>
        </w:rPr>
        <w:t>
      5) значительные нарушения – нарушения, связанные с реализацией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 четко оформленными ценниками на реализуемые товары с указанием наименования товара, его сорта, цены за вес или единицу товара, осуществлением электронной торговли, оборудования торговыми рынками торговых мест в соответствии со схемой их размещения, административно-бытовых, складских помещений и мест общего пользования, оборудованием доступных для обозрения мест, наличием в стационарных торговых объектах, наличием в оптово-распределительных центрах соответствия требованиям технического оснащения оптово-распределительных центров, обеспечением администрацией оптово-распределительных центров утвержденного регламента работы;</w:t>
      </w:r>
    </w:p>
    <w:bookmarkEnd w:id="23"/>
    <w:bookmarkStart w:name="z46" w:id="24"/>
    <w:p>
      <w:pPr>
        <w:spacing w:after="0"/>
        <w:ind w:left="0"/>
        <w:jc w:val="both"/>
      </w:pPr>
      <w:r>
        <w:rPr>
          <w:rFonts w:ascii="Times New Roman"/>
          <w:b w:val="false"/>
          <w:i w:val="false"/>
          <w:color w:val="000000"/>
          <w:sz w:val="28"/>
        </w:rPr>
        <w:t>
      6) грубые нарушения – нарушения, связанные с не установлением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превышением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незаконным требованием вознаграждения в связи с приобретением социально значимых продовольственных товаров, превышение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 ограничением доступа товаров, выражающийся в необоснованном отказе от заключения договора о поставке товаров либо в заключении договора, не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 не заключением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коммунальных рынках;</w:t>
      </w:r>
    </w:p>
    <w:bookmarkEnd w:id="24"/>
    <w:bookmarkStart w:name="z47" w:id="25"/>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(объекта)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5"/>
    <w:bookmarkStart w:name="z48" w:id="26"/>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6"/>
    <w:bookmarkStart w:name="z49" w:id="27"/>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за соблюдением законодательства Республики Казахстан о регулировании торговой деятельности и не зависящие непосредственно от отдельного субъекта (объекта) контроля;</w:t>
      </w:r>
    </w:p>
    <w:bookmarkEnd w:id="27"/>
    <w:bookmarkStart w:name="z50" w:id="28"/>
    <w:p>
      <w:pPr>
        <w:spacing w:after="0"/>
        <w:ind w:left="0"/>
        <w:jc w:val="both"/>
      </w:pPr>
      <w:r>
        <w:rPr>
          <w:rFonts w:ascii="Times New Roman"/>
          <w:b w:val="false"/>
          <w:i w:val="false"/>
          <w:color w:val="000000"/>
          <w:sz w:val="28"/>
        </w:rPr>
        <w:t>
      10)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8"/>
    <w:bookmarkStart w:name="z51" w:id="29"/>
    <w:p>
      <w:pPr>
        <w:spacing w:after="0"/>
        <w:ind w:left="0"/>
        <w:jc w:val="both"/>
      </w:pPr>
      <w:r>
        <w:rPr>
          <w:rFonts w:ascii="Times New Roman"/>
          <w:b w:val="false"/>
          <w:i w:val="false"/>
          <w:color w:val="000000"/>
          <w:sz w:val="28"/>
        </w:rPr>
        <w:t xml:space="preserve">
      11)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законным интересам физических и юридических лиц, государства; </w:t>
      </w:r>
    </w:p>
    <w:bookmarkEnd w:id="29"/>
    <w:bookmarkStart w:name="z52" w:id="30"/>
    <w:p>
      <w:pPr>
        <w:spacing w:after="0"/>
        <w:ind w:left="0"/>
        <w:jc w:val="both"/>
      </w:pPr>
      <w:r>
        <w:rPr>
          <w:rFonts w:ascii="Times New Roman"/>
          <w:b w:val="false"/>
          <w:i w:val="false"/>
          <w:color w:val="000000"/>
          <w:sz w:val="28"/>
        </w:rPr>
        <w:t xml:space="preserve">
      12)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0"/>
    <w:bookmarkStart w:name="z53" w:id="31"/>
    <w:p>
      <w:pPr>
        <w:spacing w:after="0"/>
        <w:ind w:left="0"/>
        <w:jc w:val="both"/>
      </w:pPr>
      <w:r>
        <w:rPr>
          <w:rFonts w:ascii="Times New Roman"/>
          <w:b w:val="false"/>
          <w:i w:val="false"/>
          <w:color w:val="000000"/>
          <w:sz w:val="28"/>
        </w:rPr>
        <w:t xml:space="preserve">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 </w:t>
      </w:r>
    </w:p>
    <w:bookmarkEnd w:id="31"/>
    <w:bookmarkStart w:name="z54" w:id="32"/>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применяется в отношении субъекта (объекта) контроля, отнесенного к высокой степени риска.</w:t>
      </w:r>
    </w:p>
    <w:bookmarkEnd w:id="32"/>
    <w:bookmarkStart w:name="z55" w:id="33"/>
    <w:p>
      <w:pPr>
        <w:spacing w:after="0"/>
        <w:ind w:left="0"/>
        <w:jc w:val="both"/>
      </w:pPr>
      <w:r>
        <w:rPr>
          <w:rFonts w:ascii="Times New Roman"/>
          <w:b w:val="false"/>
          <w:i w:val="false"/>
          <w:color w:val="000000"/>
          <w:sz w:val="28"/>
        </w:rPr>
        <w:t xml:space="preserve">
      4. Профилактический контроль с посещением субъектов (объектов) контроля проводится на основании списков проведения профилактического контроля с посещением субъектов (объектов) контроля, формируемых на полугодие, по результатам проводимого анализа и оценки. </w:t>
      </w:r>
    </w:p>
    <w:bookmarkEnd w:id="33"/>
    <w:bookmarkStart w:name="z56" w:id="34"/>
    <w:p>
      <w:pPr>
        <w:spacing w:after="0"/>
        <w:ind w:left="0"/>
        <w:jc w:val="both"/>
      </w:pPr>
      <w:r>
        <w:rPr>
          <w:rFonts w:ascii="Times New Roman"/>
          <w:b w:val="false"/>
          <w:i w:val="false"/>
          <w:color w:val="000000"/>
          <w:sz w:val="28"/>
        </w:rPr>
        <w:t>
      5. Списки проведения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w:t>
      </w:r>
    </w:p>
    <w:bookmarkEnd w:id="34"/>
    <w:bookmarkStart w:name="z57" w:id="35"/>
    <w:p>
      <w:pPr>
        <w:spacing w:after="0"/>
        <w:ind w:left="0"/>
        <w:jc w:val="left"/>
      </w:pPr>
      <w:r>
        <w:rPr>
          <w:rFonts w:ascii="Times New Roman"/>
          <w:b/>
          <w:i w:val="false"/>
          <w:color w:val="000000"/>
        </w:rPr>
        <w:t xml:space="preserve"> Глава 2. Объективные критерии</w:t>
      </w:r>
    </w:p>
    <w:bookmarkEnd w:id="35"/>
    <w:bookmarkStart w:name="z58" w:id="36"/>
    <w:p>
      <w:pPr>
        <w:spacing w:after="0"/>
        <w:ind w:left="0"/>
        <w:jc w:val="both"/>
      </w:pPr>
      <w:r>
        <w:rPr>
          <w:rFonts w:ascii="Times New Roman"/>
          <w:b w:val="false"/>
          <w:i w:val="false"/>
          <w:color w:val="000000"/>
          <w:sz w:val="28"/>
        </w:rPr>
        <w:t>
      6. В регулировании торговой деятельности к высокой степени риска относятся риски вероятности причинения вреда законным интересам физических и юридических лиц, имущественным интересам государства субъектами контроля.</w:t>
      </w:r>
    </w:p>
    <w:bookmarkEnd w:id="36"/>
    <w:bookmarkStart w:name="z59" w:id="37"/>
    <w:p>
      <w:pPr>
        <w:spacing w:after="0"/>
        <w:ind w:left="0"/>
        <w:jc w:val="both"/>
      </w:pPr>
      <w:r>
        <w:rPr>
          <w:rFonts w:ascii="Times New Roman"/>
          <w:b w:val="false"/>
          <w:i w:val="false"/>
          <w:color w:val="000000"/>
          <w:sz w:val="28"/>
        </w:rPr>
        <w:t>
      По объективным критериям к высокой степени риска относятся субъекты внутренней торговли, осуществляющие деятельность на торговых объектах.</w:t>
      </w:r>
    </w:p>
    <w:bookmarkEnd w:id="37"/>
    <w:bookmarkStart w:name="z60" w:id="38"/>
    <w:p>
      <w:pPr>
        <w:spacing w:after="0"/>
        <w:ind w:left="0"/>
        <w:jc w:val="both"/>
      </w:pPr>
      <w:r>
        <w:rPr>
          <w:rFonts w:ascii="Times New Roman"/>
          <w:b w:val="false"/>
          <w:i w:val="false"/>
          <w:color w:val="000000"/>
          <w:sz w:val="28"/>
        </w:rPr>
        <w:t>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38"/>
    <w:bookmarkStart w:name="z61" w:id="39"/>
    <w:p>
      <w:pPr>
        <w:spacing w:after="0"/>
        <w:ind w:left="0"/>
        <w:jc w:val="both"/>
      </w:pPr>
      <w:r>
        <w:rPr>
          <w:rFonts w:ascii="Times New Roman"/>
          <w:b w:val="false"/>
          <w:i w:val="false"/>
          <w:color w:val="000000"/>
          <w:sz w:val="28"/>
        </w:rPr>
        <w:t>
      Субъекты внутренней торговли, осуществляющие деятельность на коммунальных рынках, относятся к низкой степени риска. В отношении таких субъектов проводятся внеплановые проверки.</w:t>
      </w:r>
    </w:p>
    <w:bookmarkEnd w:id="39"/>
    <w:bookmarkStart w:name="z62" w:id="40"/>
    <w:p>
      <w:pPr>
        <w:spacing w:after="0"/>
        <w:ind w:left="0"/>
        <w:jc w:val="left"/>
      </w:pPr>
      <w:r>
        <w:rPr>
          <w:rFonts w:ascii="Times New Roman"/>
          <w:b/>
          <w:i w:val="false"/>
          <w:color w:val="000000"/>
        </w:rPr>
        <w:t xml:space="preserve"> Глава 3. Субъективные критерии</w:t>
      </w:r>
    </w:p>
    <w:bookmarkEnd w:id="40"/>
    <w:bookmarkStart w:name="z63" w:id="41"/>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41"/>
    <w:bookmarkStart w:name="z64" w:id="42"/>
    <w:p>
      <w:pPr>
        <w:spacing w:after="0"/>
        <w:ind w:left="0"/>
        <w:jc w:val="both"/>
      </w:pPr>
      <w:r>
        <w:rPr>
          <w:rFonts w:ascii="Times New Roman"/>
          <w:b w:val="false"/>
          <w:i w:val="false"/>
          <w:color w:val="000000"/>
          <w:sz w:val="28"/>
        </w:rPr>
        <w:t>
      1) формирование базы данных и сбор информации;</w:t>
      </w:r>
    </w:p>
    <w:bookmarkEnd w:id="42"/>
    <w:bookmarkStart w:name="z65" w:id="43"/>
    <w:p>
      <w:pPr>
        <w:spacing w:after="0"/>
        <w:ind w:left="0"/>
        <w:jc w:val="both"/>
      </w:pPr>
      <w:r>
        <w:rPr>
          <w:rFonts w:ascii="Times New Roman"/>
          <w:b w:val="false"/>
          <w:i w:val="false"/>
          <w:color w:val="000000"/>
          <w:sz w:val="28"/>
        </w:rPr>
        <w:t>
      2) анализ информации и оценка рисков.</w:t>
      </w:r>
    </w:p>
    <w:bookmarkEnd w:id="43"/>
    <w:bookmarkStart w:name="z66" w:id="44"/>
    <w:p>
      <w:pPr>
        <w:spacing w:after="0"/>
        <w:ind w:left="0"/>
        <w:jc w:val="both"/>
      </w:pPr>
      <w:r>
        <w:rPr>
          <w:rFonts w:ascii="Times New Roman"/>
          <w:b w:val="false"/>
          <w:i w:val="false"/>
          <w:color w:val="000000"/>
          <w:sz w:val="28"/>
        </w:rPr>
        <w:t>
      8. Для оценки степени риска используются следующие источники информации:</w:t>
      </w:r>
    </w:p>
    <w:bookmarkEnd w:id="44"/>
    <w:bookmarkStart w:name="z67" w:id="45"/>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45"/>
    <w:bookmarkStart w:name="z68" w:id="46"/>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46"/>
    <w:bookmarkStart w:name="z69" w:id="47"/>
    <w:p>
      <w:pPr>
        <w:spacing w:after="0"/>
        <w:ind w:left="0"/>
        <w:jc w:val="both"/>
      </w:pPr>
      <w:r>
        <w:rPr>
          <w:rFonts w:ascii="Times New Roman"/>
          <w:b w:val="false"/>
          <w:i w:val="false"/>
          <w:color w:val="000000"/>
          <w:sz w:val="28"/>
        </w:rPr>
        <w:t>
      9.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сферах о регулировании торговой деятельности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47"/>
    <w:bookmarkStart w:name="z70" w:id="48"/>
    <w:p>
      <w:pPr>
        <w:spacing w:after="0"/>
        <w:ind w:left="0"/>
        <w:jc w:val="both"/>
      </w:pPr>
      <w:r>
        <w:rPr>
          <w:rFonts w:ascii="Times New Roman"/>
          <w:b w:val="false"/>
          <w:i w:val="false"/>
          <w:color w:val="000000"/>
          <w:sz w:val="28"/>
        </w:rPr>
        <w:t>
      Субъективные критерии к оценке степени риска деятельности субъектов контроля изложены в приложении 1 к настоящим Критериям.</w:t>
      </w:r>
    </w:p>
    <w:bookmarkEnd w:id="48"/>
    <w:bookmarkStart w:name="z71" w:id="49"/>
    <w:p>
      <w:pPr>
        <w:spacing w:after="0"/>
        <w:ind w:left="0"/>
        <w:jc w:val="both"/>
      </w:pPr>
      <w:r>
        <w:rPr>
          <w:rFonts w:ascii="Times New Roman"/>
          <w:b w:val="false"/>
          <w:i w:val="false"/>
          <w:color w:val="000000"/>
          <w:sz w:val="28"/>
        </w:rPr>
        <w:t>
      10.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49"/>
    <w:bookmarkStart w:name="z72" w:id="50"/>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50"/>
    <w:bookmarkStart w:name="z73" w:id="5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1"/>
    <w:bookmarkStart w:name="z74" w:id="5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2"/>
    <w:bookmarkStart w:name="z75" w:id="5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3"/>
    <w:bookmarkStart w:name="z76" w:id="54"/>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согласно перечню субъективных критериев для определения степени риска по субъективным критериям в сфере регулирования торговой деятельности согласно приложению 2 к настоящим Критериям.</w:t>
      </w:r>
    </w:p>
    <w:bookmarkEnd w:id="54"/>
    <w:bookmarkStart w:name="z77" w:id="55"/>
    <w:p>
      <w:pPr>
        <w:spacing w:after="0"/>
        <w:ind w:left="0"/>
        <w:jc w:val="both"/>
      </w:pPr>
      <w:r>
        <w:rPr>
          <w:rFonts w:ascii="Times New Roman"/>
          <w:b w:val="false"/>
          <w:i w:val="false"/>
          <w:color w:val="000000"/>
          <w:sz w:val="28"/>
        </w:rPr>
        <w:t>
      11. Для отнесения субъекта (объекта) контроля к степени риска в соответствии с пунктом 5 настоящих Критериев применяется следующий порядок расчета показателя степени риска.</w:t>
      </w:r>
    </w:p>
    <w:bookmarkEnd w:id="55"/>
    <w:bookmarkStart w:name="z78" w:id="56"/>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8 настоящих Критериев.</w:t>
      </w:r>
    </w:p>
    <w:bookmarkEnd w:id="56"/>
    <w:bookmarkStart w:name="z79" w:id="57"/>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в соответствии с пунктом 11 настоящих Критериев (SC), с последующей нормализацией значений данных в диапазон от 0 до 100 баллов.</w:t>
      </w:r>
    </w:p>
    <w:bookmarkEnd w:id="57"/>
    <w:bookmarkStart w:name="z80" w:id="58"/>
    <w:p>
      <w:pPr>
        <w:spacing w:after="0"/>
        <w:ind w:left="0"/>
        <w:jc w:val="both"/>
      </w:pPr>
      <w:r>
        <w:rPr>
          <w:rFonts w:ascii="Times New Roman"/>
          <w:b w:val="false"/>
          <w:i w:val="false"/>
          <w:color w:val="000000"/>
          <w:sz w:val="28"/>
        </w:rPr>
        <w:t>
      Rпром = SP + SC, где</w:t>
      </w:r>
    </w:p>
    <w:bookmarkEnd w:id="58"/>
    <w:bookmarkStart w:name="z81" w:id="59"/>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59"/>
    <w:bookmarkStart w:name="z82" w:id="60"/>
    <w:p>
      <w:pPr>
        <w:spacing w:after="0"/>
        <w:ind w:left="0"/>
        <w:jc w:val="both"/>
      </w:pPr>
      <w:r>
        <w:rPr>
          <w:rFonts w:ascii="Times New Roman"/>
          <w:b w:val="false"/>
          <w:i w:val="false"/>
          <w:color w:val="000000"/>
          <w:sz w:val="28"/>
        </w:rPr>
        <w:t>
      SР – показатель степени риска по нарушениям,</w:t>
      </w:r>
    </w:p>
    <w:bookmarkEnd w:id="60"/>
    <w:bookmarkStart w:name="z83" w:id="61"/>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61"/>
    <w:bookmarkStart w:name="z84" w:id="62"/>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62"/>
    <w:bookmarkStart w:name="z85" w:id="63"/>
    <w:p>
      <w:pPr>
        <w:spacing w:after="0"/>
        <w:ind w:left="0"/>
        <w:jc w:val="both"/>
      </w:pPr>
      <w:r>
        <w:rPr>
          <w:rFonts w:ascii="Times New Roman"/>
          <w:b w:val="false"/>
          <w:i w:val="false"/>
          <w:color w:val="000000"/>
          <w:sz w:val="28"/>
        </w:rPr>
        <w:t>
      12.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3"/>
    <w:bookmarkStart w:name="z86" w:id="64"/>
    <w:p>
      <w:pPr>
        <w:spacing w:after="0"/>
        <w:ind w:left="0"/>
        <w:jc w:val="both"/>
      </w:pPr>
      <w:r>
        <w:rPr>
          <w:rFonts w:ascii="Times New Roman"/>
          <w:b w:val="false"/>
          <w:i w:val="false"/>
          <w:color w:val="000000"/>
          <w:sz w:val="28"/>
        </w:rPr>
        <w:t>
      При невыявлении грубых нарушений определение показателя степени риска рассчитывается суммарным показателем по нарушениям значительной и незначительной степени.</w:t>
      </w:r>
    </w:p>
    <w:bookmarkEnd w:id="64"/>
    <w:bookmarkStart w:name="z87" w:id="6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5"/>
    <w:bookmarkStart w:name="z88" w:id="66"/>
    <w:p>
      <w:pPr>
        <w:spacing w:after="0"/>
        <w:ind w:left="0"/>
        <w:jc w:val="both"/>
      </w:pPr>
      <w:r>
        <w:rPr>
          <w:rFonts w:ascii="Times New Roman"/>
          <w:b w:val="false"/>
          <w:i w:val="false"/>
          <w:color w:val="000000"/>
          <w:sz w:val="28"/>
        </w:rPr>
        <w:t>
      SРз = (SР2 х 100/SР1) х 0,7, где:</w:t>
      </w:r>
    </w:p>
    <w:bookmarkEnd w:id="66"/>
    <w:bookmarkStart w:name="z89" w:id="67"/>
    <w:p>
      <w:pPr>
        <w:spacing w:after="0"/>
        <w:ind w:left="0"/>
        <w:jc w:val="both"/>
      </w:pPr>
      <w:r>
        <w:rPr>
          <w:rFonts w:ascii="Times New Roman"/>
          <w:b w:val="false"/>
          <w:i w:val="false"/>
          <w:color w:val="000000"/>
          <w:sz w:val="28"/>
        </w:rPr>
        <w:t>
      SРз – показатель значительных нарушений;</w:t>
      </w:r>
    </w:p>
    <w:bookmarkEnd w:id="67"/>
    <w:bookmarkStart w:name="z90" w:id="68"/>
    <w:p>
      <w:pPr>
        <w:spacing w:after="0"/>
        <w:ind w:left="0"/>
        <w:jc w:val="both"/>
      </w:pPr>
      <w:r>
        <w:rPr>
          <w:rFonts w:ascii="Times New Roman"/>
          <w:b w:val="false"/>
          <w:i w:val="false"/>
          <w:color w:val="000000"/>
          <w:sz w:val="28"/>
        </w:rPr>
        <w:t>
      SР1 – требуемое количество значительных нарушений;</w:t>
      </w:r>
    </w:p>
    <w:bookmarkEnd w:id="68"/>
    <w:bookmarkStart w:name="z91" w:id="69"/>
    <w:p>
      <w:pPr>
        <w:spacing w:after="0"/>
        <w:ind w:left="0"/>
        <w:jc w:val="both"/>
      </w:pPr>
      <w:r>
        <w:rPr>
          <w:rFonts w:ascii="Times New Roman"/>
          <w:b w:val="false"/>
          <w:i w:val="false"/>
          <w:color w:val="000000"/>
          <w:sz w:val="28"/>
        </w:rPr>
        <w:t>
      SР2 – количество выявленных значительных нарушений;</w:t>
      </w:r>
    </w:p>
    <w:bookmarkEnd w:id="69"/>
    <w:bookmarkStart w:name="z92" w:id="7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0"/>
    <w:bookmarkStart w:name="z93" w:id="71"/>
    <w:p>
      <w:pPr>
        <w:spacing w:after="0"/>
        <w:ind w:left="0"/>
        <w:jc w:val="both"/>
      </w:pPr>
      <w:r>
        <w:rPr>
          <w:rFonts w:ascii="Times New Roman"/>
          <w:b w:val="false"/>
          <w:i w:val="false"/>
          <w:color w:val="000000"/>
          <w:sz w:val="28"/>
        </w:rPr>
        <w:t>
      SРн = (SР2 х 100/SР1) х 0,3, где:</w:t>
      </w:r>
    </w:p>
    <w:bookmarkEnd w:id="71"/>
    <w:bookmarkStart w:name="z94" w:id="72"/>
    <w:p>
      <w:pPr>
        <w:spacing w:after="0"/>
        <w:ind w:left="0"/>
        <w:jc w:val="both"/>
      </w:pPr>
      <w:r>
        <w:rPr>
          <w:rFonts w:ascii="Times New Roman"/>
          <w:b w:val="false"/>
          <w:i w:val="false"/>
          <w:color w:val="000000"/>
          <w:sz w:val="28"/>
        </w:rPr>
        <w:t>
      SРн – показатель незначительных нарушений;</w:t>
      </w:r>
    </w:p>
    <w:bookmarkEnd w:id="72"/>
    <w:bookmarkStart w:name="z95" w:id="73"/>
    <w:p>
      <w:pPr>
        <w:spacing w:after="0"/>
        <w:ind w:left="0"/>
        <w:jc w:val="both"/>
      </w:pPr>
      <w:r>
        <w:rPr>
          <w:rFonts w:ascii="Times New Roman"/>
          <w:b w:val="false"/>
          <w:i w:val="false"/>
          <w:color w:val="000000"/>
          <w:sz w:val="28"/>
        </w:rPr>
        <w:t>
      SР1 – требуемое количество незначительных нарушений;</w:t>
      </w:r>
    </w:p>
    <w:bookmarkEnd w:id="73"/>
    <w:bookmarkStart w:name="z96" w:id="74"/>
    <w:p>
      <w:pPr>
        <w:spacing w:after="0"/>
        <w:ind w:left="0"/>
        <w:jc w:val="both"/>
      </w:pPr>
      <w:r>
        <w:rPr>
          <w:rFonts w:ascii="Times New Roman"/>
          <w:b w:val="false"/>
          <w:i w:val="false"/>
          <w:color w:val="000000"/>
          <w:sz w:val="28"/>
        </w:rPr>
        <w:t>
      SР2 – количество выявленных незначительных нарушений;</w:t>
      </w:r>
    </w:p>
    <w:bookmarkEnd w:id="74"/>
    <w:bookmarkStart w:name="z97" w:id="75"/>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75"/>
    <w:bookmarkStart w:name="z98" w:id="76"/>
    <w:p>
      <w:pPr>
        <w:spacing w:after="0"/>
        <w:ind w:left="0"/>
        <w:jc w:val="both"/>
      </w:pPr>
      <w:r>
        <w:rPr>
          <w:rFonts w:ascii="Times New Roman"/>
          <w:b w:val="false"/>
          <w:i w:val="false"/>
          <w:color w:val="000000"/>
          <w:sz w:val="28"/>
        </w:rPr>
        <w:t>
      SР = SРз + SРн,</w:t>
      </w:r>
    </w:p>
    <w:bookmarkEnd w:id="76"/>
    <w:bookmarkStart w:name="z99" w:id="77"/>
    <w:p>
      <w:pPr>
        <w:spacing w:after="0"/>
        <w:ind w:left="0"/>
        <w:jc w:val="both"/>
      </w:pPr>
      <w:r>
        <w:rPr>
          <w:rFonts w:ascii="Times New Roman"/>
          <w:b w:val="false"/>
          <w:i w:val="false"/>
          <w:color w:val="000000"/>
          <w:sz w:val="28"/>
        </w:rPr>
        <w:t>
      где:</w:t>
      </w:r>
    </w:p>
    <w:bookmarkEnd w:id="77"/>
    <w:bookmarkStart w:name="z100" w:id="78"/>
    <w:p>
      <w:pPr>
        <w:spacing w:after="0"/>
        <w:ind w:left="0"/>
        <w:jc w:val="both"/>
      </w:pPr>
      <w:r>
        <w:rPr>
          <w:rFonts w:ascii="Times New Roman"/>
          <w:b w:val="false"/>
          <w:i w:val="false"/>
          <w:color w:val="000000"/>
          <w:sz w:val="28"/>
        </w:rPr>
        <w:t>
      SР – общий показатель степени риска;</w:t>
      </w:r>
    </w:p>
    <w:bookmarkEnd w:id="78"/>
    <w:bookmarkStart w:name="z101" w:id="79"/>
    <w:p>
      <w:pPr>
        <w:spacing w:after="0"/>
        <w:ind w:left="0"/>
        <w:jc w:val="both"/>
      </w:pPr>
      <w:r>
        <w:rPr>
          <w:rFonts w:ascii="Times New Roman"/>
          <w:b w:val="false"/>
          <w:i w:val="false"/>
          <w:color w:val="000000"/>
          <w:sz w:val="28"/>
        </w:rPr>
        <w:t>
      SРз – показатель значительных нарушений;</w:t>
      </w:r>
    </w:p>
    <w:bookmarkEnd w:id="79"/>
    <w:bookmarkStart w:name="z102" w:id="80"/>
    <w:p>
      <w:pPr>
        <w:spacing w:after="0"/>
        <w:ind w:left="0"/>
        <w:jc w:val="both"/>
      </w:pPr>
      <w:r>
        <w:rPr>
          <w:rFonts w:ascii="Times New Roman"/>
          <w:b w:val="false"/>
          <w:i w:val="false"/>
          <w:color w:val="000000"/>
          <w:sz w:val="28"/>
        </w:rPr>
        <w:t>
      SРн – показатель незначительных нарушений.</w:t>
      </w:r>
    </w:p>
    <w:bookmarkEnd w:id="80"/>
    <w:bookmarkStart w:name="z103" w:id="81"/>
    <w:p>
      <w:pPr>
        <w:spacing w:after="0"/>
        <w:ind w:left="0"/>
        <w:jc w:val="both"/>
      </w:pPr>
      <w:r>
        <w:rPr>
          <w:rFonts w:ascii="Times New Roman"/>
          <w:b w:val="false"/>
          <w:i w:val="false"/>
          <w:color w:val="000000"/>
          <w:sz w:val="28"/>
        </w:rPr>
        <w:t>
      Расчет показателя степени риска по субъективным критериям, определенным в соответствии с пунктом 10 настоящих Критерии, производится по шкале от 0 до 100 баллов и осуществляется по следующей формуле:</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2"/>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2"/>
    <w:bookmarkStart w:name="z106" w:id="8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83"/>
    <w:bookmarkStart w:name="z107" w:id="84"/>
    <w:p>
      <w:pPr>
        <w:spacing w:after="0"/>
        <w:ind w:left="0"/>
        <w:jc w:val="both"/>
      </w:pPr>
      <w:r>
        <w:rPr>
          <w:rFonts w:ascii="Times New Roman"/>
          <w:b w:val="false"/>
          <w:i w:val="false"/>
          <w:color w:val="000000"/>
          <w:sz w:val="28"/>
        </w:rPr>
        <w:t>
      n – количество показателей.</w:t>
      </w:r>
    </w:p>
    <w:bookmarkEnd w:id="84"/>
    <w:bookmarkStart w:name="z108" w:id="85"/>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10 настоящих Критериев, включается в расчет показателя степени риска по субъективным критериям.</w:t>
      </w:r>
    </w:p>
    <w:bookmarkEnd w:id="85"/>
    <w:bookmarkStart w:name="z109" w:id="86"/>
    <w:p>
      <w:pPr>
        <w:spacing w:after="0"/>
        <w:ind w:left="0"/>
        <w:jc w:val="both"/>
      </w:pPr>
      <w:r>
        <w:rPr>
          <w:rFonts w:ascii="Times New Roman"/>
          <w:b w:val="false"/>
          <w:i w:val="false"/>
          <w:color w:val="000000"/>
          <w:sz w:val="28"/>
        </w:rPr>
        <w:t>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87"/>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87"/>
    <w:bookmarkStart w:name="z112" w:id="8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88"/>
    <w:bookmarkStart w:name="z113" w:id="8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89"/>
    <w:bookmarkStart w:name="z114" w:id="9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11 настоящих Критериев.</w:t>
      </w:r>
    </w:p>
    <w:bookmarkEnd w:id="90"/>
    <w:bookmarkStart w:name="z115" w:id="91"/>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критериями оценки степени риска, не чаще двух раз в год.</w:t>
      </w:r>
    </w:p>
    <w:bookmarkEnd w:id="91"/>
    <w:bookmarkStart w:name="z116" w:id="92"/>
    <w:p>
      <w:pPr>
        <w:spacing w:after="0"/>
        <w:ind w:left="0"/>
        <w:jc w:val="left"/>
      </w:pPr>
      <w:r>
        <w:rPr>
          <w:rFonts w:ascii="Times New Roman"/>
          <w:b/>
          <w:i w:val="false"/>
          <w:color w:val="000000"/>
        </w:rPr>
        <w:t xml:space="preserve"> Глава 4. Управление рисками</w:t>
      </w:r>
    </w:p>
    <w:bookmarkEnd w:id="92"/>
    <w:bookmarkStart w:name="z117" w:id="93"/>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(объектов)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93"/>
    <w:bookmarkStart w:name="z118" w:id="94"/>
    <w:p>
      <w:pPr>
        <w:spacing w:after="0"/>
        <w:ind w:left="0"/>
        <w:jc w:val="both"/>
      </w:pPr>
      <w:r>
        <w:rPr>
          <w:rFonts w:ascii="Times New Roman"/>
          <w:b w:val="false"/>
          <w:i w:val="false"/>
          <w:color w:val="000000"/>
          <w:sz w:val="28"/>
        </w:rPr>
        <w:t>
      15.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94"/>
    <w:bookmarkStart w:name="z119" w:id="95"/>
    <w:p>
      <w:pPr>
        <w:spacing w:after="0"/>
        <w:ind w:left="0"/>
        <w:jc w:val="both"/>
      </w:pPr>
      <w:r>
        <w:rPr>
          <w:rFonts w:ascii="Times New Roman"/>
          <w:b w:val="false"/>
          <w:i w:val="false"/>
          <w:color w:val="000000"/>
          <w:sz w:val="28"/>
        </w:rPr>
        <w:t>
      1) если такие субъекты (объекты)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95"/>
    <w:bookmarkStart w:name="z120" w:id="9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регулирующего государственного органа определены случаи освобождения от профилактического контроля с посещением субъекта (объекта) контроля;</w:t>
      </w:r>
    </w:p>
    <w:bookmarkEnd w:id="96"/>
    <w:bookmarkStart w:name="z121" w:id="97"/>
    <w:p>
      <w:pPr>
        <w:spacing w:after="0"/>
        <w:ind w:left="0"/>
        <w:jc w:val="both"/>
      </w:pPr>
      <w:r>
        <w:rPr>
          <w:rFonts w:ascii="Times New Roman"/>
          <w:b w:val="false"/>
          <w:i w:val="false"/>
          <w:color w:val="000000"/>
          <w:sz w:val="28"/>
        </w:rPr>
        <w:t xml:space="preserve">
      3) если субъекты (объекты)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97"/>
    <w:bookmarkStart w:name="z122" w:id="98"/>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регулирующим государственным органом учитываются смягчающие индикаторы.</w:t>
      </w:r>
    </w:p>
    <w:bookmarkEnd w:id="98"/>
    <w:bookmarkStart w:name="z123" w:id="99"/>
    <w:p>
      <w:pPr>
        <w:spacing w:after="0"/>
        <w:ind w:left="0"/>
        <w:jc w:val="both"/>
      </w:pPr>
      <w:r>
        <w:rPr>
          <w:rFonts w:ascii="Times New Roman"/>
          <w:b w:val="false"/>
          <w:i w:val="false"/>
          <w:color w:val="000000"/>
          <w:sz w:val="28"/>
        </w:rPr>
        <w:t>
      К смягчающим индикаторам относится наличие аудио и (или) видео фиксации, с передачей данных в онлайн-режиме.</w:t>
      </w:r>
    </w:p>
    <w:bookmarkEnd w:id="99"/>
    <w:bookmarkStart w:name="z124" w:id="100"/>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регулирующим государственным органом осуществляется в части требований, данные по которым получены указанными в смягчающих индикаторах способами.</w:t>
      </w:r>
    </w:p>
    <w:bookmarkEnd w:id="100"/>
    <w:bookmarkStart w:name="z125" w:id="101"/>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 для государственных органов, использующих информационные системы с учетом специфики, в соответствии с законодательными актами Республики Казахстан</w:t>
      </w:r>
    </w:p>
    <w:bookmarkEnd w:id="101"/>
    <w:bookmarkStart w:name="z126" w:id="102"/>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02"/>
    <w:bookmarkStart w:name="z127" w:id="103"/>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(объектов) контроля в определенной сфере государственного контроля.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129" w:id="104"/>
    <w:p>
      <w:pPr>
        <w:spacing w:after="0"/>
        <w:ind w:left="0"/>
        <w:jc w:val="left"/>
      </w:pPr>
      <w:r>
        <w:rPr>
          <w:rFonts w:ascii="Times New Roman"/>
          <w:b/>
          <w:i w:val="false"/>
          <w:color w:val="000000"/>
        </w:rPr>
        <w:t xml:space="preserve"> Степень нарушений требований в сфере регулирования торговой деятельности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отношении субъектов внутренней торговли в части ценообразования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p>
          <w:p>
            <w:pPr>
              <w:spacing w:after="20"/>
              <w:ind w:left="20"/>
              <w:jc w:val="both"/>
            </w:pPr>
            <w:r>
              <w:rPr>
                <w:rFonts w:ascii="Times New Roman"/>
                <w:b w:val="false"/>
                <w:i w:val="false"/>
                <w:color w:val="000000"/>
                <w:sz w:val="20"/>
              </w:rPr>
              <w:t>1) по включению в оферту существенных условий договора или указанию порядка их определения;</w:t>
            </w:r>
          </w:p>
          <w:p>
            <w:pPr>
              <w:spacing w:after="20"/>
              <w:ind w:left="20"/>
              <w:jc w:val="both"/>
            </w:pPr>
            <w:r>
              <w:rPr>
                <w:rFonts w:ascii="Times New Roman"/>
                <w:b w:val="false"/>
                <w:i w:val="false"/>
                <w:color w:val="000000"/>
                <w:sz w:val="20"/>
              </w:rPr>
              <w:t>2) по предоставлению информации о порядке заключения договора;</w:t>
            </w:r>
          </w:p>
          <w:p>
            <w:pPr>
              <w:spacing w:after="20"/>
              <w:ind w:left="20"/>
              <w:jc w:val="both"/>
            </w:pPr>
            <w:r>
              <w:rPr>
                <w:rFonts w:ascii="Times New Roman"/>
                <w:b w:val="false"/>
                <w:i w:val="false"/>
                <w:color w:val="000000"/>
                <w:sz w:val="20"/>
              </w:rPr>
              <w:t>3) по выписке счетов-фактур.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отношении торговых рынков, торговых сетей и крупных торговых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p>
          <w:p>
            <w:pPr>
              <w:spacing w:after="20"/>
              <w:ind w:left="20"/>
              <w:jc w:val="both"/>
            </w:pPr>
            <w:r>
              <w:rPr>
                <w:rFonts w:ascii="Times New Roman"/>
                <w:b w:val="false"/>
                <w:i w:val="false"/>
                <w:color w:val="000000"/>
                <w:sz w:val="20"/>
              </w:rPr>
              <w:t>- информация, содержащая схему размещения на торговом рынке торговых мест;</w:t>
            </w:r>
          </w:p>
          <w:p>
            <w:pPr>
              <w:spacing w:after="20"/>
              <w:ind w:left="20"/>
              <w:jc w:val="both"/>
            </w:pPr>
            <w:r>
              <w:rPr>
                <w:rFonts w:ascii="Times New Roman"/>
                <w:b w:val="false"/>
                <w:i w:val="false"/>
                <w:color w:val="000000"/>
                <w:sz w:val="20"/>
              </w:rPr>
              <w:t>- схема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 информация о порядке и об условиях предоставления торговых мест в аренду (пользование);</w:t>
            </w:r>
          </w:p>
          <w:p>
            <w:pPr>
              <w:spacing w:after="20"/>
              <w:ind w:left="20"/>
              <w:jc w:val="both"/>
            </w:pPr>
            <w:r>
              <w:rPr>
                <w:rFonts w:ascii="Times New Roman"/>
                <w:b w:val="false"/>
                <w:i w:val="false"/>
                <w:color w:val="000000"/>
                <w:sz w:val="20"/>
              </w:rPr>
              <w:t>- информация о наличии свободных торговых мест;</w:t>
            </w:r>
          </w:p>
          <w:p>
            <w:pPr>
              <w:spacing w:after="20"/>
              <w:ind w:left="20"/>
              <w:jc w:val="both"/>
            </w:pP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p>
          <w:p>
            <w:pPr>
              <w:spacing w:after="20"/>
              <w:ind w:left="20"/>
              <w:jc w:val="both"/>
            </w:pP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p>
          <w:p>
            <w:pPr>
              <w:spacing w:after="20"/>
              <w:ind w:left="20"/>
              <w:jc w:val="both"/>
            </w:pP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p>
            <w:pPr>
              <w:spacing w:after="20"/>
              <w:ind w:left="20"/>
              <w:jc w:val="both"/>
            </w:pP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p>
          <w:p>
            <w:pPr>
              <w:spacing w:after="20"/>
              <w:ind w:left="20"/>
              <w:jc w:val="both"/>
            </w:pPr>
            <w:r>
              <w:rPr>
                <w:rFonts w:ascii="Times New Roman"/>
                <w:b w:val="false"/>
                <w:i w:val="false"/>
                <w:color w:val="000000"/>
                <w:sz w:val="20"/>
              </w:rPr>
              <w:t>3) осуществление модернизации торговой инфраструктуры;</w:t>
            </w:r>
          </w:p>
          <w:p>
            <w:pPr>
              <w:spacing w:after="20"/>
              <w:ind w:left="20"/>
              <w:jc w:val="both"/>
            </w:pP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p>
          <w:p>
            <w:pPr>
              <w:spacing w:after="20"/>
              <w:ind w:left="20"/>
              <w:jc w:val="both"/>
            </w:pP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p>
          <w:p>
            <w:pPr>
              <w:spacing w:after="20"/>
              <w:ind w:left="20"/>
              <w:jc w:val="both"/>
            </w:pP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p>
          <w:p>
            <w:pPr>
              <w:spacing w:after="20"/>
              <w:ind w:left="20"/>
              <w:jc w:val="both"/>
            </w:pP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p>
          <w:p>
            <w:pPr>
              <w:spacing w:after="20"/>
              <w:ind w:left="20"/>
              <w:jc w:val="both"/>
            </w:pP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p>
          <w:p>
            <w:pPr>
              <w:spacing w:after="20"/>
              <w:ind w:left="20"/>
              <w:jc w:val="both"/>
            </w:pP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p>
          <w:p>
            <w:pPr>
              <w:spacing w:after="20"/>
              <w:ind w:left="20"/>
              <w:jc w:val="both"/>
            </w:pP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p>
          <w:p>
            <w:pPr>
              <w:spacing w:after="20"/>
              <w:ind w:left="20"/>
              <w:jc w:val="both"/>
            </w:pP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p>
          <w:p>
            <w:pPr>
              <w:spacing w:after="20"/>
              <w:ind w:left="20"/>
              <w:jc w:val="both"/>
            </w:pP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p>
          <w:p>
            <w:pPr>
              <w:spacing w:after="20"/>
              <w:ind w:left="20"/>
              <w:jc w:val="both"/>
            </w:pP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p>
            <w:pPr>
              <w:spacing w:after="20"/>
              <w:ind w:left="20"/>
              <w:jc w:val="both"/>
            </w:pP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p>
          <w:p>
            <w:pPr>
              <w:spacing w:after="20"/>
              <w:ind w:left="20"/>
              <w:jc w:val="both"/>
            </w:pP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p>
          <w:p>
            <w:pPr>
              <w:spacing w:after="20"/>
              <w:ind w:left="20"/>
              <w:jc w:val="both"/>
            </w:pP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p>
          <w:p>
            <w:pPr>
              <w:spacing w:after="20"/>
              <w:ind w:left="20"/>
              <w:jc w:val="both"/>
            </w:pP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p>
          <w:p>
            <w:pPr>
              <w:spacing w:after="20"/>
              <w:ind w:left="20"/>
              <w:jc w:val="both"/>
            </w:pP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p>
          <w:p>
            <w:pPr>
              <w:spacing w:after="20"/>
              <w:ind w:left="20"/>
              <w:jc w:val="both"/>
            </w:pP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p>
          <w:p>
            <w:pPr>
              <w:spacing w:after="20"/>
              <w:ind w:left="20"/>
              <w:jc w:val="both"/>
            </w:pP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p>
          <w:p>
            <w:pPr>
              <w:spacing w:after="20"/>
              <w:ind w:left="20"/>
              <w:jc w:val="both"/>
            </w:pP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p>
          <w:p>
            <w:pPr>
              <w:spacing w:after="20"/>
              <w:ind w:left="20"/>
              <w:jc w:val="both"/>
            </w:pPr>
            <w:r>
              <w:rPr>
                <w:rFonts w:ascii="Times New Roman"/>
                <w:b w:val="false"/>
                <w:i w:val="false"/>
                <w:color w:val="000000"/>
                <w:sz w:val="20"/>
              </w:rPr>
              <w:t>В перечень дополнительных услуг входит:</w:t>
            </w:r>
          </w:p>
          <w:p>
            <w:pPr>
              <w:spacing w:after="20"/>
              <w:ind w:left="20"/>
              <w:jc w:val="both"/>
            </w:pPr>
            <w:r>
              <w:rPr>
                <w:rFonts w:ascii="Times New Roman"/>
                <w:b w:val="false"/>
                <w:i w:val="false"/>
                <w:color w:val="000000"/>
                <w:sz w:val="20"/>
              </w:rPr>
              <w:t>1) наименование услуг;</w:t>
            </w:r>
          </w:p>
          <w:p>
            <w:pPr>
              <w:spacing w:after="20"/>
              <w:ind w:left="20"/>
              <w:jc w:val="both"/>
            </w:pPr>
            <w:r>
              <w:rPr>
                <w:rFonts w:ascii="Times New Roman"/>
                <w:b w:val="false"/>
                <w:i w:val="false"/>
                <w:color w:val="000000"/>
                <w:sz w:val="20"/>
              </w:rPr>
              <w:t>2) стоимость услуг;</w:t>
            </w:r>
          </w:p>
          <w:p>
            <w:pPr>
              <w:spacing w:after="20"/>
              <w:ind w:left="20"/>
              <w:jc w:val="both"/>
            </w:pPr>
            <w:r>
              <w:rPr>
                <w:rFonts w:ascii="Times New Roman"/>
                <w:b w:val="false"/>
                <w:i w:val="false"/>
                <w:color w:val="000000"/>
                <w:sz w:val="20"/>
              </w:rPr>
              <w:t>3) описание характера оказываемых услуг и их количественные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p>
          <w:p>
            <w:pPr>
              <w:spacing w:after="20"/>
              <w:ind w:left="20"/>
              <w:jc w:val="both"/>
            </w:pP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p>
            <w:pPr>
              <w:spacing w:after="20"/>
              <w:ind w:left="20"/>
              <w:jc w:val="both"/>
            </w:pPr>
            <w:r>
              <w:rPr>
                <w:rFonts w:ascii="Times New Roman"/>
                <w:b w:val="false"/>
                <w:i w:val="false"/>
                <w:color w:val="000000"/>
                <w:sz w:val="20"/>
              </w:rPr>
              <w:t>2) идентификационный номер налогоплательщика;</w:t>
            </w:r>
          </w:p>
          <w:p>
            <w:pPr>
              <w:spacing w:after="20"/>
              <w:ind w:left="20"/>
              <w:jc w:val="both"/>
            </w:pPr>
            <w:r>
              <w:rPr>
                <w:rFonts w:ascii="Times New Roman"/>
                <w:b w:val="false"/>
                <w:i w:val="false"/>
                <w:color w:val="000000"/>
                <w:sz w:val="20"/>
              </w:rPr>
              <w:t>3) специализацию торгового рынка, крупного торгового объекта;</w:t>
            </w:r>
          </w:p>
          <w:p>
            <w:pPr>
              <w:spacing w:after="20"/>
              <w:ind w:left="20"/>
              <w:jc w:val="both"/>
            </w:pPr>
            <w:r>
              <w:rPr>
                <w:rFonts w:ascii="Times New Roman"/>
                <w:b w:val="false"/>
                <w:i w:val="false"/>
                <w:color w:val="000000"/>
                <w:sz w:val="20"/>
              </w:rPr>
              <w:t>4) схему торгового рынка, крупного торгового объекта;</w:t>
            </w:r>
          </w:p>
          <w:p>
            <w:pPr>
              <w:spacing w:after="20"/>
              <w:ind w:left="20"/>
              <w:jc w:val="both"/>
            </w:pPr>
            <w:r>
              <w:rPr>
                <w:rFonts w:ascii="Times New Roman"/>
                <w:b w:val="false"/>
                <w:i w:val="false"/>
                <w:color w:val="000000"/>
                <w:sz w:val="20"/>
              </w:rPr>
              <w:t>5) схему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p>
          <w:p>
            <w:pPr>
              <w:spacing w:after="20"/>
              <w:ind w:left="20"/>
              <w:jc w:val="both"/>
            </w:pP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p>
          <w:p>
            <w:pPr>
              <w:spacing w:after="20"/>
              <w:ind w:left="20"/>
              <w:jc w:val="both"/>
            </w:pPr>
            <w:r>
              <w:rPr>
                <w:rFonts w:ascii="Times New Roman"/>
                <w:b w:val="false"/>
                <w:i w:val="false"/>
                <w:color w:val="000000"/>
                <w:sz w:val="20"/>
              </w:rPr>
              <w:t>8) условия договора аренды (пользования), в том числе порядок и основания для его расторжения;</w:t>
            </w:r>
          </w:p>
          <w:p>
            <w:pPr>
              <w:spacing w:after="20"/>
              <w:ind w:left="20"/>
              <w:jc w:val="both"/>
            </w:pP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торговли с автолавок при наличии технических условий на их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p>
            <w:pPr>
              <w:spacing w:after="20"/>
              <w:ind w:left="20"/>
              <w:jc w:val="both"/>
            </w:pP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отношении оптово-распределительных центров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p>
          <w:p>
            <w:pPr>
              <w:spacing w:after="20"/>
              <w:ind w:left="20"/>
              <w:jc w:val="both"/>
            </w:pPr>
            <w:r>
              <w:rPr>
                <w:rFonts w:ascii="Times New Roman"/>
                <w:b w:val="false"/>
                <w:i w:val="false"/>
                <w:color w:val="000000"/>
                <w:sz w:val="20"/>
              </w:rPr>
              <w:t>1) терминальная;</w:t>
            </w:r>
          </w:p>
          <w:p>
            <w:pPr>
              <w:spacing w:after="20"/>
              <w:ind w:left="20"/>
              <w:jc w:val="both"/>
            </w:pPr>
            <w:r>
              <w:rPr>
                <w:rFonts w:ascii="Times New Roman"/>
                <w:b w:val="false"/>
                <w:i w:val="false"/>
                <w:color w:val="000000"/>
                <w:sz w:val="20"/>
              </w:rPr>
              <w:t>2) контрольная;</w:t>
            </w:r>
          </w:p>
          <w:p>
            <w:pPr>
              <w:spacing w:after="20"/>
              <w:ind w:left="20"/>
              <w:jc w:val="both"/>
            </w:pPr>
            <w:r>
              <w:rPr>
                <w:rFonts w:ascii="Times New Roman"/>
                <w:b w:val="false"/>
                <w:i w:val="false"/>
                <w:color w:val="000000"/>
                <w:sz w:val="20"/>
              </w:rPr>
              <w:t>3) складская;</w:t>
            </w:r>
          </w:p>
          <w:p>
            <w:pPr>
              <w:spacing w:after="20"/>
              <w:ind w:left="20"/>
              <w:jc w:val="both"/>
            </w:pPr>
            <w:r>
              <w:rPr>
                <w:rFonts w:ascii="Times New Roman"/>
                <w:b w:val="false"/>
                <w:i w:val="false"/>
                <w:color w:val="000000"/>
                <w:sz w:val="20"/>
              </w:rPr>
              <w:t>4) технологическая;</w:t>
            </w:r>
          </w:p>
          <w:p>
            <w:pPr>
              <w:spacing w:after="20"/>
              <w:ind w:left="20"/>
              <w:jc w:val="both"/>
            </w:pPr>
            <w:r>
              <w:rPr>
                <w:rFonts w:ascii="Times New Roman"/>
                <w:b w:val="false"/>
                <w:i w:val="false"/>
                <w:color w:val="000000"/>
                <w:sz w:val="20"/>
              </w:rPr>
              <w:t>5) административная.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температурный бокс;</w:t>
            </w:r>
          </w:p>
          <w:p>
            <w:pPr>
              <w:spacing w:after="20"/>
              <w:ind w:left="20"/>
              <w:jc w:val="both"/>
            </w:pPr>
            <w:r>
              <w:rPr>
                <w:rFonts w:ascii="Times New Roman"/>
                <w:b w:val="false"/>
                <w:i w:val="false"/>
                <w:color w:val="000000"/>
                <w:sz w:val="20"/>
              </w:rPr>
              <w:t>3) торгово-выставочная зона;</w:t>
            </w:r>
          </w:p>
          <w:p>
            <w:pPr>
              <w:spacing w:after="20"/>
              <w:ind w:left="20"/>
              <w:jc w:val="both"/>
            </w:pPr>
            <w:r>
              <w:rPr>
                <w:rFonts w:ascii="Times New Roman"/>
                <w:b w:val="false"/>
                <w:i w:val="false"/>
                <w:color w:val="000000"/>
                <w:sz w:val="20"/>
              </w:rPr>
              <w:t>4) торговая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торгово-выставочная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p>
          <w:p>
            <w:pPr>
              <w:spacing w:after="20"/>
              <w:ind w:left="20"/>
              <w:jc w:val="both"/>
            </w:pPr>
            <w:r>
              <w:rPr>
                <w:rFonts w:ascii="Times New Roman"/>
                <w:b w:val="false"/>
                <w:i w:val="false"/>
                <w:color w:val="000000"/>
                <w:sz w:val="20"/>
              </w:rPr>
              <w:t>1) регулируемый температурный режим в складской зоне и павильонах;</w:t>
            </w:r>
          </w:p>
          <w:p>
            <w:pPr>
              <w:spacing w:after="20"/>
              <w:ind w:left="20"/>
              <w:jc w:val="both"/>
            </w:pP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p>
          <w:p>
            <w:pPr>
              <w:spacing w:after="20"/>
              <w:ind w:left="20"/>
              <w:jc w:val="both"/>
            </w:pP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p>
          <w:p>
            <w:pPr>
              <w:spacing w:after="20"/>
              <w:ind w:left="20"/>
              <w:jc w:val="both"/>
            </w:pPr>
            <w:r>
              <w:rPr>
                <w:rFonts w:ascii="Times New Roman"/>
                <w:b w:val="false"/>
                <w:i w:val="false"/>
                <w:color w:val="000000"/>
                <w:sz w:val="20"/>
              </w:rPr>
              <w:t>4) наличие современных средств механизации погрузочно-разгрузочных работ;</w:t>
            </w:r>
          </w:p>
          <w:p>
            <w:pPr>
              <w:spacing w:after="20"/>
              <w:ind w:left="20"/>
              <w:jc w:val="both"/>
            </w:pPr>
            <w:r>
              <w:rPr>
                <w:rFonts w:ascii="Times New Roman"/>
                <w:b w:val="false"/>
                <w:i w:val="false"/>
                <w:color w:val="000000"/>
                <w:sz w:val="20"/>
              </w:rPr>
              <w:t>5) наличие рампы-навеса для грузового автотранспорта;</w:t>
            </w:r>
          </w:p>
          <w:p>
            <w:pPr>
              <w:spacing w:after="20"/>
              <w:ind w:left="20"/>
              <w:jc w:val="both"/>
            </w:pP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p>
          <w:p>
            <w:pPr>
              <w:spacing w:after="20"/>
              <w:ind w:left="20"/>
              <w:jc w:val="both"/>
            </w:pP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p>
          <w:p>
            <w:pPr>
              <w:spacing w:after="20"/>
              <w:ind w:left="20"/>
              <w:jc w:val="both"/>
            </w:pPr>
            <w:r>
              <w:rPr>
                <w:rFonts w:ascii="Times New Roman"/>
                <w:b w:val="false"/>
                <w:i w:val="false"/>
                <w:color w:val="000000"/>
                <w:sz w:val="20"/>
              </w:rPr>
              <w:t>8) наличие площадок для отстоя и маневрирования большегрузного транспорта;</w:t>
            </w:r>
          </w:p>
          <w:p>
            <w:pPr>
              <w:spacing w:after="20"/>
              <w:ind w:left="20"/>
              <w:jc w:val="both"/>
            </w:pP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p>
          <w:p>
            <w:pPr>
              <w:spacing w:after="20"/>
              <w:ind w:left="20"/>
              <w:jc w:val="both"/>
            </w:pPr>
            <w:r>
              <w:rPr>
                <w:rFonts w:ascii="Times New Roman"/>
                <w:b w:val="false"/>
                <w:i w:val="false"/>
                <w:color w:val="000000"/>
                <w:sz w:val="20"/>
              </w:rPr>
              <w:t>10) наличие автоматизированной системы учета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сфере регулирования</w:t>
            </w:r>
            <w:r>
              <w:br/>
            </w:r>
            <w:r>
              <w:rPr>
                <w:rFonts w:ascii="Times New Roman"/>
                <w:b w:val="false"/>
                <w:i w:val="false"/>
                <w:color w:val="000000"/>
                <w:sz w:val="20"/>
              </w:rPr>
              <w:t>торговой деятельности</w:t>
            </w:r>
          </w:p>
        </w:tc>
      </w:tr>
    </w:tbl>
    <w:bookmarkStart w:name="z132" w:id="10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регулирования торговой деятельности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 SC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привлечения к административной ответственности по </w:t>
            </w:r>
            <w:r>
              <w:rPr>
                <w:rFonts w:ascii="Times New Roman"/>
                <w:b w:val="false"/>
                <w:i w:val="false"/>
                <w:color w:val="000000"/>
                <w:sz w:val="20"/>
              </w:rPr>
              <w:t>статьям 193</w:t>
            </w:r>
            <w:r>
              <w:rPr>
                <w:rFonts w:ascii="Times New Roman"/>
                <w:b w:val="false"/>
                <w:i w:val="false"/>
                <w:color w:val="000000"/>
                <w:sz w:val="20"/>
              </w:rPr>
              <w:t xml:space="preserve"> (частями четвертой и пятой), </w:t>
            </w:r>
            <w:r>
              <w:rPr>
                <w:rFonts w:ascii="Times New Roman"/>
                <w:b w:val="false"/>
                <w:i w:val="false"/>
                <w:color w:val="000000"/>
                <w:sz w:val="20"/>
              </w:rPr>
              <w:t>201</w:t>
            </w:r>
            <w:r>
              <w:rPr>
                <w:rFonts w:ascii="Times New Roman"/>
                <w:b w:val="false"/>
                <w:i w:val="false"/>
                <w:color w:val="000000"/>
                <w:sz w:val="20"/>
              </w:rPr>
              <w:t xml:space="preserve">, </w:t>
            </w:r>
            <w:r>
              <w:rPr>
                <w:rFonts w:ascii="Times New Roman"/>
                <w:b w:val="false"/>
                <w:i w:val="false"/>
                <w:color w:val="000000"/>
                <w:sz w:val="20"/>
              </w:rPr>
              <w:t>204-2</w:t>
            </w:r>
            <w:r>
              <w:rPr>
                <w:rFonts w:ascii="Times New Roman"/>
                <w:b w:val="false"/>
                <w:i w:val="false"/>
                <w:color w:val="000000"/>
                <w:sz w:val="20"/>
              </w:rPr>
              <w:t xml:space="preserve">, </w:t>
            </w:r>
            <w:r>
              <w:rPr>
                <w:rFonts w:ascii="Times New Roman"/>
                <w:b w:val="false"/>
                <w:i w:val="false"/>
                <w:color w:val="000000"/>
                <w:sz w:val="20"/>
              </w:rPr>
              <w:t>204-3</w:t>
            </w:r>
            <w:r>
              <w:rPr>
                <w:rFonts w:ascii="Times New Roman"/>
                <w:b w:val="false"/>
                <w:i w:val="false"/>
                <w:color w:val="000000"/>
                <w:sz w:val="20"/>
              </w:rPr>
              <w:t xml:space="preserve"> и </w:t>
            </w:r>
            <w:r>
              <w:rPr>
                <w:rFonts w:ascii="Times New Roman"/>
                <w:b w:val="false"/>
                <w:i w:val="false"/>
                <w:color w:val="000000"/>
                <w:sz w:val="20"/>
              </w:rPr>
              <w:t>204-4</w:t>
            </w:r>
            <w:r>
              <w:rPr>
                <w:rFonts w:ascii="Times New Roman"/>
                <w:b w:val="false"/>
                <w:i w:val="false"/>
                <w:color w:val="000000"/>
                <w:sz w:val="20"/>
              </w:rPr>
              <w:t xml:space="preserve"> Кодекса об административных нарушениях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35" w:id="106"/>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06"/>
    <w:p>
      <w:pPr>
        <w:spacing w:after="0"/>
        <w:ind w:left="0"/>
        <w:jc w:val="both"/>
      </w:pPr>
      <w:bookmarkStart w:name="z136" w:id="10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07"/>
    <w:p>
      <w:pPr>
        <w:spacing w:after="0"/>
        <w:ind w:left="0"/>
        <w:jc w:val="both"/>
      </w:pPr>
      <w:r>
        <w:rPr>
          <w:rFonts w:ascii="Times New Roman"/>
          <w:b w:val="false"/>
          <w:i w:val="false"/>
          <w:color w:val="000000"/>
          <w:sz w:val="28"/>
        </w:rPr>
        <w:t>В отношении субъектов внутренней торговли в части ценообразования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а также наличие товарно-сопроводительных документов и договоров поставки на продовольственные товары, оформленных изготовителем или поставщиком (продавцом).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требование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вознаграждения в связи с приобретением социально значимых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 оформленных ценников на реализуемые товары с указанием наименования товара, его сорта, цены за вес или единицу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минимальных оптовых цен на производимые, ввозимые и (или) реализуемые в Республике Казахстан социально значимые продовольственные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продавцом при осуществлении электронной торговли требований:</w:t>
            </w:r>
          </w:p>
          <w:p>
            <w:pPr>
              <w:spacing w:after="20"/>
              <w:ind w:left="20"/>
              <w:jc w:val="both"/>
            </w:pPr>
            <w:r>
              <w:rPr>
                <w:rFonts w:ascii="Times New Roman"/>
                <w:b w:val="false"/>
                <w:i w:val="false"/>
                <w:color w:val="000000"/>
                <w:sz w:val="20"/>
              </w:rPr>
              <w:t>1) по включению в оферту существенных условий договора или указанию порядка их определения;</w:t>
            </w:r>
          </w:p>
          <w:p>
            <w:pPr>
              <w:spacing w:after="20"/>
              <w:ind w:left="20"/>
              <w:jc w:val="both"/>
            </w:pPr>
            <w:r>
              <w:rPr>
                <w:rFonts w:ascii="Times New Roman"/>
                <w:b w:val="false"/>
                <w:i w:val="false"/>
                <w:color w:val="000000"/>
                <w:sz w:val="20"/>
              </w:rPr>
              <w:t>2) по предоставлению информации о порядке заключения договора;</w:t>
            </w:r>
          </w:p>
          <w:p>
            <w:pPr>
              <w:spacing w:after="20"/>
              <w:ind w:left="20"/>
              <w:jc w:val="both"/>
            </w:pPr>
            <w:r>
              <w:rPr>
                <w:rFonts w:ascii="Times New Roman"/>
                <w:b w:val="false"/>
                <w:i w:val="false"/>
                <w:color w:val="000000"/>
                <w:sz w:val="20"/>
              </w:rPr>
              <w:t>3) по выписке счетов-фактур.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территории Республики Казахстан с указанием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не должна превышать оформленную ярлыком цену, выставленного во внутренних и (или) внешних витринах торгового объекта, либо указание цены товара в тенге при его реализации на территории Республики Казахстан на условиях публичного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08"/>
      <w:r>
        <w:rPr>
          <w:rFonts w:ascii="Times New Roman"/>
          <w:b w:val="false"/>
          <w:i w:val="false"/>
          <w:color w:val="000000"/>
          <w:sz w:val="28"/>
        </w:rPr>
        <w:t>
      Должностное (ые) лицо (а) __________________________________</w:t>
      </w:r>
    </w:p>
    <w:bookmarkEnd w:id="108"/>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40" w:id="109"/>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09"/>
    <w:p>
      <w:pPr>
        <w:spacing w:after="0"/>
        <w:ind w:left="0"/>
        <w:jc w:val="both"/>
      </w:pPr>
      <w:bookmarkStart w:name="z141" w:id="11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10"/>
    <w:p>
      <w:pPr>
        <w:spacing w:after="0"/>
        <w:ind w:left="0"/>
        <w:jc w:val="both"/>
      </w:pPr>
      <w:r>
        <w:rPr>
          <w:rFonts w:ascii="Times New Roman"/>
          <w:b w:val="false"/>
          <w:i w:val="false"/>
          <w:color w:val="000000"/>
          <w:sz w:val="28"/>
        </w:rPr>
        <w:t>В отношении торговых рынков, торговых сетей и крупных торговых объектов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торговых мест в соответствии со схемой их размещения, административно-бытовых, складских помещений и мест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торговыми рынками оборудования доступных для обозрения мест, на которых размещаются:</w:t>
            </w:r>
          </w:p>
          <w:p>
            <w:pPr>
              <w:spacing w:after="20"/>
              <w:ind w:left="20"/>
              <w:jc w:val="both"/>
            </w:pPr>
            <w:r>
              <w:rPr>
                <w:rFonts w:ascii="Times New Roman"/>
                <w:b w:val="false"/>
                <w:i w:val="false"/>
                <w:color w:val="000000"/>
                <w:sz w:val="20"/>
              </w:rPr>
              <w:t>- информация, содержащая схему размещения на торговом рынке торговых мест;</w:t>
            </w:r>
          </w:p>
          <w:p>
            <w:pPr>
              <w:spacing w:after="20"/>
              <w:ind w:left="20"/>
              <w:jc w:val="both"/>
            </w:pPr>
            <w:r>
              <w:rPr>
                <w:rFonts w:ascii="Times New Roman"/>
                <w:b w:val="false"/>
                <w:i w:val="false"/>
                <w:color w:val="000000"/>
                <w:sz w:val="20"/>
              </w:rPr>
              <w:t>- схема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 информация о порядке и об условиях предоставления торговых мест в аренду (пользование);</w:t>
            </w:r>
          </w:p>
          <w:p>
            <w:pPr>
              <w:spacing w:after="20"/>
              <w:ind w:left="20"/>
              <w:jc w:val="both"/>
            </w:pPr>
            <w:r>
              <w:rPr>
                <w:rFonts w:ascii="Times New Roman"/>
                <w:b w:val="false"/>
                <w:i w:val="false"/>
                <w:color w:val="000000"/>
                <w:sz w:val="20"/>
              </w:rPr>
              <w:t>- информация о наличии свободных торговых мест;</w:t>
            </w:r>
          </w:p>
          <w:p>
            <w:pPr>
              <w:spacing w:after="20"/>
              <w:ind w:left="20"/>
              <w:jc w:val="both"/>
            </w:pPr>
            <w:r>
              <w:rPr>
                <w:rFonts w:ascii="Times New Roman"/>
                <w:b w:val="false"/>
                <w:i w:val="false"/>
                <w:color w:val="000000"/>
                <w:sz w:val="20"/>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 -номера телефонов администрации торгового рынка, территориальных подразделений государственных органов в сферах защиты прав потребителей, санитарно-эпидемиологического благополучия населения, органов по ветеринарии и карантину растений, отдела внутренних дел, куда необходимо обращаться в случае возникновения вопросов относительно работы торгового рынка;</w:t>
            </w:r>
          </w:p>
          <w:p>
            <w:pPr>
              <w:spacing w:after="20"/>
              <w:ind w:left="20"/>
              <w:jc w:val="both"/>
            </w:pPr>
            <w:r>
              <w:rPr>
                <w:rFonts w:ascii="Times New Roman"/>
                <w:b w:val="false"/>
                <w:i w:val="false"/>
                <w:color w:val="000000"/>
                <w:sz w:val="20"/>
              </w:rPr>
              <w:t>- оснащения указателями направлений к торговым рядам (плодоовощным, мясным, молочным, бытовых товаров, одежды, обуви и другим), объектам общественного питания, контрольным средствам измерения, автобусным остановкам.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обеспечения функционирования таких объектов и организация их работы:</w:t>
            </w:r>
          </w:p>
          <w:p>
            <w:pPr>
              <w:spacing w:after="20"/>
              <w:ind w:left="20"/>
              <w:jc w:val="both"/>
            </w:pPr>
            <w:r>
              <w:rPr>
                <w:rFonts w:ascii="Times New Roman"/>
                <w:b w:val="false"/>
                <w:i w:val="false"/>
                <w:color w:val="000000"/>
                <w:sz w:val="20"/>
              </w:rPr>
              <w:t>1) утверждение и соблюдение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p>
            <w:pPr>
              <w:spacing w:after="20"/>
              <w:ind w:left="20"/>
              <w:jc w:val="both"/>
            </w:pPr>
            <w:r>
              <w:rPr>
                <w:rFonts w:ascii="Times New Roman"/>
                <w:b w:val="false"/>
                <w:i w:val="false"/>
                <w:color w:val="000000"/>
                <w:sz w:val="20"/>
              </w:rPr>
              <w:t>2) регистрация и осуществление деятельности в информационной системе и соблюдение требований;</w:t>
            </w:r>
          </w:p>
          <w:p>
            <w:pPr>
              <w:spacing w:after="20"/>
              <w:ind w:left="20"/>
              <w:jc w:val="both"/>
            </w:pPr>
            <w:r>
              <w:rPr>
                <w:rFonts w:ascii="Times New Roman"/>
                <w:b w:val="false"/>
                <w:i w:val="false"/>
                <w:color w:val="000000"/>
                <w:sz w:val="20"/>
              </w:rPr>
              <w:t>3) осуществление модернизации торговой инфраструктуры;</w:t>
            </w:r>
          </w:p>
          <w:p>
            <w:pPr>
              <w:spacing w:after="20"/>
              <w:ind w:left="20"/>
              <w:jc w:val="both"/>
            </w:pPr>
            <w:r>
              <w:rPr>
                <w:rFonts w:ascii="Times New Roman"/>
                <w:b w:val="false"/>
                <w:i w:val="false"/>
                <w:color w:val="000000"/>
                <w:sz w:val="20"/>
              </w:rPr>
              <w:t>4) разграничение зоны продаж оптовой и розничной торговли на территории крупного торгового объекта, торгового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индивидуальными предпринимателями и юридическими лицами заключения письменных договоров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коммунальным рынком:</w:t>
            </w:r>
          </w:p>
          <w:p>
            <w:pPr>
              <w:spacing w:after="20"/>
              <w:ind w:left="20"/>
              <w:jc w:val="both"/>
            </w:pPr>
            <w:r>
              <w:rPr>
                <w:rFonts w:ascii="Times New Roman"/>
                <w:b w:val="false"/>
                <w:i w:val="false"/>
                <w:color w:val="000000"/>
                <w:sz w:val="20"/>
              </w:rPr>
              <w:t>1) деятельности в соответствии с регламентом работы торгового рынка, утвержденным местным исполнительным органом, по решению которого создан данный коммунальный рынок;</w:t>
            </w:r>
          </w:p>
          <w:p>
            <w:pPr>
              <w:spacing w:after="20"/>
              <w:ind w:left="20"/>
              <w:jc w:val="both"/>
            </w:pPr>
            <w:r>
              <w:rPr>
                <w:rFonts w:ascii="Times New Roman"/>
                <w:b w:val="false"/>
                <w:i w:val="false"/>
                <w:color w:val="000000"/>
                <w:sz w:val="20"/>
              </w:rPr>
              <w:t>2) выполнения социально значимых задач по вопросам поддержки местных товаропроизводителей, оказания социальной поддержки социально уязвимым слоям населения путем:</w:t>
            </w:r>
          </w:p>
          <w:p>
            <w:pPr>
              <w:spacing w:after="20"/>
              <w:ind w:left="20"/>
              <w:jc w:val="both"/>
            </w:pPr>
            <w:r>
              <w:rPr>
                <w:rFonts w:ascii="Times New Roman"/>
                <w:b w:val="false"/>
                <w:i w:val="false"/>
                <w:color w:val="000000"/>
                <w:sz w:val="20"/>
              </w:rPr>
              <w:t>- предоставления услуг отдельным категориям граждан, которым законодательно предоставлено право внеочередного обслуживания или других льгот согласно регламенту работы торгового рынка;</w:t>
            </w:r>
          </w:p>
          <w:p>
            <w:pPr>
              <w:spacing w:after="20"/>
              <w:ind w:left="20"/>
              <w:jc w:val="both"/>
            </w:pPr>
            <w:r>
              <w:rPr>
                <w:rFonts w:ascii="Times New Roman"/>
                <w:b w:val="false"/>
                <w:i w:val="false"/>
                <w:color w:val="000000"/>
                <w:sz w:val="20"/>
              </w:rPr>
              <w:t>- предоставления без взимания платы торговых мест гражданам, реализующим продукцию с собственного подсобного хозяйства;</w:t>
            </w:r>
          </w:p>
          <w:p>
            <w:pPr>
              <w:spacing w:after="20"/>
              <w:ind w:left="20"/>
              <w:jc w:val="both"/>
            </w:pPr>
            <w:r>
              <w:rPr>
                <w:rFonts w:ascii="Times New Roman"/>
                <w:b w:val="false"/>
                <w:i w:val="false"/>
                <w:color w:val="000000"/>
                <w:sz w:val="20"/>
              </w:rPr>
              <w:t>3) на коммунальном рынке для реализации продовольственных товаров отведения не менее 70 % торговых мест, из них не менее 10 % торговых мест предоставляется непосредственно сельскохозяйственным товаропроизводителям для реализации собственной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администрацией коммунального рынка:</w:t>
            </w:r>
          </w:p>
          <w:p>
            <w:pPr>
              <w:spacing w:after="20"/>
              <w:ind w:left="20"/>
              <w:jc w:val="both"/>
            </w:pPr>
            <w:r>
              <w:rPr>
                <w:rFonts w:ascii="Times New Roman"/>
                <w:b w:val="false"/>
                <w:i w:val="false"/>
                <w:color w:val="000000"/>
                <w:sz w:val="20"/>
              </w:rPr>
              <w:t>1) установления рекомендуемых розничных цен на продовольственные товары, реализуемые на коммунальном рынке по согласованию с местными исполнительными органами области, города, района на еженедельной основе;</w:t>
            </w:r>
          </w:p>
          <w:p>
            <w:pPr>
              <w:spacing w:after="20"/>
              <w:ind w:left="20"/>
              <w:jc w:val="both"/>
            </w:pPr>
            <w:r>
              <w:rPr>
                <w:rFonts w:ascii="Times New Roman"/>
                <w:b w:val="false"/>
                <w:i w:val="false"/>
                <w:color w:val="000000"/>
                <w:sz w:val="20"/>
              </w:rPr>
              <w:t>2) установления фиксированных тарифов по всем видам предоставляемых услуг (аренда торговых площадей, хранение, складирование, сортировка и расфасовка товаров, а также въезд и стоянка грузового и легкового автотранспорта) с возможностью корректировки не чаще одного раза в год по согласованию с местными исполнительными органами области, города, района на ежегодной основе;</w:t>
            </w:r>
          </w:p>
          <w:p>
            <w:pPr>
              <w:spacing w:after="20"/>
              <w:ind w:left="20"/>
              <w:jc w:val="both"/>
            </w:pPr>
            <w:r>
              <w:rPr>
                <w:rFonts w:ascii="Times New Roman"/>
                <w:b w:val="false"/>
                <w:i w:val="false"/>
                <w:color w:val="000000"/>
                <w:sz w:val="20"/>
              </w:rPr>
              <w:t>3) расположения на входе в торговый рынок информационного стенда о текущих розничных ценах на социально значимые продовольственные товары, в том числе в информационной системе. Информационный стенд может содержать информацию о текущих розничных ценах на иные продовольственные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внутренней торговли при осуществлении продажи товаров посредством организации торговой сети и торговых рынков:</w:t>
            </w:r>
          </w:p>
          <w:p>
            <w:pPr>
              <w:spacing w:after="20"/>
              <w:ind w:left="20"/>
              <w:jc w:val="both"/>
            </w:pPr>
            <w:r>
              <w:rPr>
                <w:rFonts w:ascii="Times New Roman"/>
                <w:b w:val="false"/>
                <w:i w:val="false"/>
                <w:color w:val="000000"/>
                <w:sz w:val="20"/>
              </w:rPr>
              <w:t>1) обозначения мест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p>
            <w:pPr>
              <w:spacing w:after="20"/>
              <w:ind w:left="20"/>
              <w:jc w:val="both"/>
            </w:pPr>
            <w:r>
              <w:rPr>
                <w:rFonts w:ascii="Times New Roman"/>
                <w:b w:val="false"/>
                <w:i w:val="false"/>
                <w:color w:val="000000"/>
                <w:sz w:val="20"/>
              </w:rPr>
              <w:t>2) размещения товаров отечественного производства в визуально и физически доступных местах (на уровне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стационарных торговых объектах:</w:t>
            </w:r>
          </w:p>
          <w:p>
            <w:pPr>
              <w:spacing w:after="20"/>
              <w:ind w:left="20"/>
              <w:jc w:val="both"/>
            </w:pPr>
            <w:r>
              <w:rPr>
                <w:rFonts w:ascii="Times New Roman"/>
                <w:b w:val="false"/>
                <w:i w:val="false"/>
                <w:color w:val="000000"/>
                <w:sz w:val="20"/>
              </w:rPr>
              <w:t>1) оснащения удобными подъездными путями и пешеходными доступами ко входу, а также доступом для лиц с ограниченными возможностями;</w:t>
            </w:r>
          </w:p>
          <w:p>
            <w:pPr>
              <w:spacing w:after="20"/>
              <w:ind w:left="20"/>
              <w:jc w:val="both"/>
            </w:pPr>
            <w:r>
              <w:rPr>
                <w:rFonts w:ascii="Times New Roman"/>
                <w:b w:val="false"/>
                <w:i w:val="false"/>
                <w:color w:val="000000"/>
                <w:sz w:val="20"/>
              </w:rPr>
              <w:t>2) благоустройства и освещения в темное время суток территории, прилегающей к стационарным торговым объектам;</w:t>
            </w:r>
          </w:p>
          <w:p>
            <w:pPr>
              <w:spacing w:after="20"/>
              <w:ind w:left="20"/>
              <w:jc w:val="both"/>
            </w:pPr>
            <w:r>
              <w:rPr>
                <w:rFonts w:ascii="Times New Roman"/>
                <w:b w:val="false"/>
                <w:i w:val="false"/>
                <w:color w:val="000000"/>
                <w:sz w:val="20"/>
              </w:rPr>
              <w:t>3) площадок для стоянки, погрузочно-разгрузочными площадками для разгрузки автотранспорта, а также площадкой для лиц с ограниченными возможностями;</w:t>
            </w:r>
          </w:p>
          <w:p>
            <w:pPr>
              <w:spacing w:after="20"/>
              <w:ind w:left="20"/>
              <w:jc w:val="both"/>
            </w:pPr>
            <w:r>
              <w:rPr>
                <w:rFonts w:ascii="Times New Roman"/>
                <w:b w:val="false"/>
                <w:i w:val="false"/>
                <w:color w:val="000000"/>
                <w:sz w:val="20"/>
              </w:rPr>
              <w:t>4) аварийных выходов, лестниц, инструкций о действиях в аварийной ситуации, системы оповещения и средств защиты от пожара, информационных указателей, обеспечивающих свободную ориентацию покупателей как в обычной, так и в чрезвычайной ситуациях;</w:t>
            </w:r>
          </w:p>
          <w:p>
            <w:pPr>
              <w:spacing w:after="20"/>
              <w:ind w:left="20"/>
              <w:jc w:val="both"/>
            </w:pPr>
            <w:r>
              <w:rPr>
                <w:rFonts w:ascii="Times New Roman"/>
                <w:b w:val="false"/>
                <w:i w:val="false"/>
                <w:color w:val="000000"/>
                <w:sz w:val="20"/>
              </w:rPr>
              <w:t>5) информационных указателей, обеспечивающих возможность перемещения по лестницам, лифтам или пандусам и пользования торговыми залами и помещениями для оказания услуг торговли лицам с ограниченными возможностями;</w:t>
            </w:r>
          </w:p>
          <w:p>
            <w:pPr>
              <w:spacing w:after="20"/>
              <w:ind w:left="20"/>
              <w:jc w:val="both"/>
            </w:pPr>
            <w:r>
              <w:rPr>
                <w:rFonts w:ascii="Times New Roman"/>
                <w:b w:val="false"/>
                <w:i w:val="false"/>
                <w:color w:val="000000"/>
                <w:sz w:val="20"/>
              </w:rPr>
              <w:t>6) вывесок с указанием информации о наименовании и роде деятельности субъекта торговли (выполнения работ и оказания услуг), включая эмблемы, товарные знаки, бренды, размещаемые на недвижимых объектах, в местах реализации товаров, оказания услуг и выполнения работ таким субъектом;</w:t>
            </w:r>
          </w:p>
          <w:p>
            <w:pPr>
              <w:spacing w:after="20"/>
              <w:ind w:left="20"/>
              <w:jc w:val="both"/>
            </w:pPr>
            <w:r>
              <w:rPr>
                <w:rFonts w:ascii="Times New Roman"/>
                <w:b w:val="false"/>
                <w:i w:val="false"/>
                <w:color w:val="000000"/>
                <w:sz w:val="20"/>
              </w:rPr>
              <w:t>7) оборудованных общественных туалетных комнат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равного доступа субъектам внутренней торговли к торговым объектам и торговой инфраструктуре, в том числе субъектам внутренней торговли, осуществляющим деятельность по продаже товаров посредством организации торговой сети или крупных торговых объектов, ограничение доступа товаров, выражающийся в необоснованном отказе от заключения договора о поставке товаров либо в заключении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дополнительных услуг, предоставляемых крупными торговыми объектами, торговыми рынками субъектам внутренней торговли (при наличии).</w:t>
            </w:r>
          </w:p>
          <w:p>
            <w:pPr>
              <w:spacing w:after="20"/>
              <w:ind w:left="20"/>
              <w:jc w:val="both"/>
            </w:pPr>
            <w:r>
              <w:rPr>
                <w:rFonts w:ascii="Times New Roman"/>
                <w:b w:val="false"/>
                <w:i w:val="false"/>
                <w:color w:val="000000"/>
                <w:sz w:val="20"/>
              </w:rPr>
              <w:t>В перечень дополнительных услуг входит:</w:t>
            </w:r>
          </w:p>
          <w:p>
            <w:pPr>
              <w:spacing w:after="20"/>
              <w:ind w:left="20"/>
              <w:jc w:val="both"/>
            </w:pPr>
            <w:r>
              <w:rPr>
                <w:rFonts w:ascii="Times New Roman"/>
                <w:b w:val="false"/>
                <w:i w:val="false"/>
                <w:color w:val="000000"/>
                <w:sz w:val="20"/>
              </w:rPr>
              <w:t>1) наименование услуг;</w:t>
            </w:r>
          </w:p>
          <w:p>
            <w:pPr>
              <w:spacing w:after="20"/>
              <w:ind w:left="20"/>
              <w:jc w:val="both"/>
            </w:pPr>
            <w:r>
              <w:rPr>
                <w:rFonts w:ascii="Times New Roman"/>
                <w:b w:val="false"/>
                <w:i w:val="false"/>
                <w:color w:val="000000"/>
                <w:sz w:val="20"/>
              </w:rPr>
              <w:t>2) стоимость услуг;</w:t>
            </w:r>
          </w:p>
          <w:p>
            <w:pPr>
              <w:spacing w:after="20"/>
              <w:ind w:left="20"/>
              <w:jc w:val="both"/>
            </w:pPr>
            <w:r>
              <w:rPr>
                <w:rFonts w:ascii="Times New Roman"/>
                <w:b w:val="false"/>
                <w:i w:val="false"/>
                <w:color w:val="000000"/>
                <w:sz w:val="20"/>
              </w:rPr>
              <w:t>3) описание характера оказываемых услуг и их количественные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предусмотренных в регламенте работы крупного торгового объекта, торгового рынка и модернизации торговой инфраструктуры который включает в себя:</w:t>
            </w:r>
          </w:p>
          <w:p>
            <w:pPr>
              <w:spacing w:after="20"/>
              <w:ind w:left="20"/>
              <w:jc w:val="both"/>
            </w:pPr>
            <w:r>
              <w:rPr>
                <w:rFonts w:ascii="Times New Roman"/>
                <w:b w:val="false"/>
                <w:i w:val="false"/>
                <w:color w:val="000000"/>
                <w:sz w:val="20"/>
              </w:rPr>
              <w:t>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p>
            <w:pPr>
              <w:spacing w:after="20"/>
              <w:ind w:left="20"/>
              <w:jc w:val="both"/>
            </w:pPr>
            <w:r>
              <w:rPr>
                <w:rFonts w:ascii="Times New Roman"/>
                <w:b w:val="false"/>
                <w:i w:val="false"/>
                <w:color w:val="000000"/>
                <w:sz w:val="20"/>
              </w:rPr>
              <w:t>2) идентификационный номер налогоплательщика;</w:t>
            </w:r>
          </w:p>
          <w:p>
            <w:pPr>
              <w:spacing w:after="20"/>
              <w:ind w:left="20"/>
              <w:jc w:val="both"/>
            </w:pPr>
            <w:r>
              <w:rPr>
                <w:rFonts w:ascii="Times New Roman"/>
                <w:b w:val="false"/>
                <w:i w:val="false"/>
                <w:color w:val="000000"/>
                <w:sz w:val="20"/>
              </w:rPr>
              <w:t>3) специализацию торгового рынка, крупного торгового объекта;</w:t>
            </w:r>
          </w:p>
          <w:p>
            <w:pPr>
              <w:spacing w:after="20"/>
              <w:ind w:left="20"/>
              <w:jc w:val="both"/>
            </w:pPr>
            <w:r>
              <w:rPr>
                <w:rFonts w:ascii="Times New Roman"/>
                <w:b w:val="false"/>
                <w:i w:val="false"/>
                <w:color w:val="000000"/>
                <w:sz w:val="20"/>
              </w:rPr>
              <w:t>4) схему торгового рынка, крупного торгового объекта;</w:t>
            </w:r>
          </w:p>
          <w:p>
            <w:pPr>
              <w:spacing w:after="20"/>
              <w:ind w:left="20"/>
              <w:jc w:val="both"/>
            </w:pPr>
            <w:r>
              <w:rPr>
                <w:rFonts w:ascii="Times New Roman"/>
                <w:b w:val="false"/>
                <w:i w:val="false"/>
                <w:color w:val="000000"/>
                <w:sz w:val="20"/>
              </w:rPr>
              <w:t>5) схему эвакуации при возникновении аварийных или чрезвычайных ситуаций;</w:t>
            </w:r>
          </w:p>
          <w:p>
            <w:pPr>
              <w:spacing w:after="20"/>
              <w:ind w:left="20"/>
              <w:jc w:val="both"/>
            </w:pPr>
            <w:r>
              <w:rPr>
                <w:rFonts w:ascii="Times New Roman"/>
                <w:b w:val="false"/>
                <w:i w:val="false"/>
                <w:color w:val="000000"/>
                <w:sz w:val="20"/>
              </w:rPr>
              <w:t>6) перечень отдельных категорий граждан, которым предоставлено право внеочередного обслуживания или других льгот на торговом рынке, крупном торговом объекте;</w:t>
            </w:r>
          </w:p>
          <w:p>
            <w:pPr>
              <w:spacing w:after="20"/>
              <w:ind w:left="20"/>
              <w:jc w:val="both"/>
            </w:pPr>
            <w:r>
              <w:rPr>
                <w:rFonts w:ascii="Times New Roman"/>
                <w:b w:val="false"/>
                <w:i w:val="false"/>
                <w:color w:val="000000"/>
                <w:sz w:val="20"/>
              </w:rPr>
              <w:t>7) порядок и условия предоставления торговых мест, оказания услуг, их характеристики, размеры стоимости за их предоставление;</w:t>
            </w:r>
          </w:p>
          <w:p>
            <w:pPr>
              <w:spacing w:after="20"/>
              <w:ind w:left="20"/>
              <w:jc w:val="both"/>
            </w:pPr>
            <w:r>
              <w:rPr>
                <w:rFonts w:ascii="Times New Roman"/>
                <w:b w:val="false"/>
                <w:i w:val="false"/>
                <w:color w:val="000000"/>
                <w:sz w:val="20"/>
              </w:rPr>
              <w:t>8) условия договора аренды (пользования), в том числе порядок и основания для его расторжения;</w:t>
            </w:r>
          </w:p>
          <w:p>
            <w:pPr>
              <w:spacing w:after="20"/>
              <w:ind w:left="20"/>
              <w:jc w:val="both"/>
            </w:pPr>
            <w:r>
              <w:rPr>
                <w:rFonts w:ascii="Times New Roman"/>
                <w:b w:val="false"/>
                <w:i w:val="false"/>
                <w:color w:val="000000"/>
                <w:sz w:val="20"/>
              </w:rPr>
              <w:t>9) порядок тарифообразования на услуги по предоставлению в аренду торговых мест, содержащий описание основных затрат, включаемых в данный тариф, сроки и порядок внесения изменений в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торговых рынках торговлю с автолавок при наличии технических условий на их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(или) внесение изменения в договоры аренды (пользования) торговых мест в крупных торговых объектах, а также на торговых рынках в информационной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платежа за аренду (пользование) торгового места в крупных торговых объектах, а также на торговых рынках через информационную систему безналичным способом, либо путем выписки счета на оплату через банки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продовольственных товаров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p>
            <w:pPr>
              <w:spacing w:after="20"/>
              <w:ind w:left="20"/>
              <w:jc w:val="both"/>
            </w:pPr>
            <w:r>
              <w:rPr>
                <w:rFonts w:ascii="Times New Roman"/>
                <w:b w:val="false"/>
                <w:i w:val="false"/>
                <w:color w:val="000000"/>
                <w:sz w:val="20"/>
              </w:rPr>
              <w:t>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11"/>
      <w:r>
        <w:rPr>
          <w:rFonts w:ascii="Times New Roman"/>
          <w:b w:val="false"/>
          <w:i w:val="false"/>
          <w:color w:val="000000"/>
          <w:sz w:val="28"/>
        </w:rPr>
        <w:t>
      Должностное (ые) лицо (а) _________________________________________</w:t>
      </w:r>
    </w:p>
    <w:bookmarkEnd w:id="1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 ______________</w:t>
      </w:r>
    </w:p>
    <w:p>
      <w:pPr>
        <w:spacing w:after="0"/>
        <w:ind w:left="0"/>
        <w:jc w:val="both"/>
      </w:pPr>
      <w:r>
        <w:rPr>
          <w:rFonts w:ascii="Times New Roman"/>
          <w:b w:val="false"/>
          <w:i w:val="false"/>
          <w:color w:val="000000"/>
          <w:sz w:val="28"/>
        </w:rPr>
        <w:t>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2024 года № 86</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w:t>
            </w:r>
            <w:r>
              <w:br/>
            </w:r>
            <w:r>
              <w:rPr>
                <w:rFonts w:ascii="Times New Roman"/>
                <w:b w:val="false"/>
                <w:i w:val="false"/>
                <w:color w:val="000000"/>
                <w:sz w:val="20"/>
              </w:rPr>
              <w:t>№ 344-НҚ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w:t>
            </w:r>
            <w:r>
              <w:br/>
            </w:r>
            <w:r>
              <w:rPr>
                <w:rFonts w:ascii="Times New Roman"/>
                <w:b w:val="false"/>
                <w:i w:val="false"/>
                <w:color w:val="000000"/>
                <w:sz w:val="20"/>
              </w:rPr>
              <w:t>№ 439-НҚ</w:t>
            </w:r>
          </w:p>
        </w:tc>
      </w:tr>
    </w:tbl>
    <w:bookmarkStart w:name="z145" w:id="112"/>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в сфере регулирования торговой деятельности</w:t>
      </w:r>
    </w:p>
    <w:bookmarkEnd w:id="112"/>
    <w:p>
      <w:pPr>
        <w:spacing w:after="0"/>
        <w:ind w:left="0"/>
        <w:jc w:val="both"/>
      </w:pPr>
      <w:bookmarkStart w:name="z146" w:id="11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13"/>
    <w:p>
      <w:pPr>
        <w:spacing w:after="0"/>
        <w:ind w:left="0"/>
        <w:jc w:val="both"/>
      </w:pPr>
      <w:r>
        <w:rPr>
          <w:rFonts w:ascii="Times New Roman"/>
          <w:b w:val="false"/>
          <w:i w:val="false"/>
          <w:color w:val="000000"/>
          <w:sz w:val="28"/>
        </w:rPr>
        <w:t>В отношении оптово-распределительных центров 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следующих основных зон:</w:t>
            </w:r>
          </w:p>
          <w:p>
            <w:pPr>
              <w:spacing w:after="20"/>
              <w:ind w:left="20"/>
              <w:jc w:val="both"/>
            </w:pPr>
            <w:r>
              <w:rPr>
                <w:rFonts w:ascii="Times New Roman"/>
                <w:b w:val="false"/>
                <w:i w:val="false"/>
                <w:color w:val="000000"/>
                <w:sz w:val="20"/>
              </w:rPr>
              <w:t>1) терминальная;</w:t>
            </w:r>
          </w:p>
          <w:p>
            <w:pPr>
              <w:spacing w:after="20"/>
              <w:ind w:left="20"/>
              <w:jc w:val="both"/>
            </w:pPr>
            <w:r>
              <w:rPr>
                <w:rFonts w:ascii="Times New Roman"/>
                <w:b w:val="false"/>
                <w:i w:val="false"/>
                <w:color w:val="000000"/>
                <w:sz w:val="20"/>
              </w:rPr>
              <w:t>2) контрольная;</w:t>
            </w:r>
          </w:p>
          <w:p>
            <w:pPr>
              <w:spacing w:after="20"/>
              <w:ind w:left="20"/>
              <w:jc w:val="both"/>
            </w:pPr>
            <w:r>
              <w:rPr>
                <w:rFonts w:ascii="Times New Roman"/>
                <w:b w:val="false"/>
                <w:i w:val="false"/>
                <w:color w:val="000000"/>
                <w:sz w:val="20"/>
              </w:rPr>
              <w:t>3) складская;</w:t>
            </w:r>
          </w:p>
          <w:p>
            <w:pPr>
              <w:spacing w:after="20"/>
              <w:ind w:left="20"/>
              <w:jc w:val="both"/>
            </w:pPr>
            <w:r>
              <w:rPr>
                <w:rFonts w:ascii="Times New Roman"/>
                <w:b w:val="false"/>
                <w:i w:val="false"/>
                <w:color w:val="000000"/>
                <w:sz w:val="20"/>
              </w:rPr>
              <w:t>4) технологическая;</w:t>
            </w:r>
          </w:p>
          <w:p>
            <w:pPr>
              <w:spacing w:after="20"/>
              <w:ind w:left="20"/>
              <w:jc w:val="both"/>
            </w:pPr>
            <w:r>
              <w:rPr>
                <w:rFonts w:ascii="Times New Roman"/>
                <w:b w:val="false"/>
                <w:i w:val="false"/>
                <w:color w:val="000000"/>
                <w:sz w:val="20"/>
              </w:rPr>
              <w:t>5) административная.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торговле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температурный бокс;</w:t>
            </w:r>
          </w:p>
          <w:p>
            <w:pPr>
              <w:spacing w:after="20"/>
              <w:ind w:left="20"/>
              <w:jc w:val="both"/>
            </w:pPr>
            <w:r>
              <w:rPr>
                <w:rFonts w:ascii="Times New Roman"/>
                <w:b w:val="false"/>
                <w:i w:val="false"/>
                <w:color w:val="000000"/>
                <w:sz w:val="20"/>
              </w:rPr>
              <w:t>3) торгово-выставочная зона;</w:t>
            </w:r>
          </w:p>
          <w:p>
            <w:pPr>
              <w:spacing w:after="20"/>
              <w:ind w:left="20"/>
              <w:jc w:val="both"/>
            </w:pPr>
            <w:r>
              <w:rPr>
                <w:rFonts w:ascii="Times New Roman"/>
                <w:b w:val="false"/>
                <w:i w:val="false"/>
                <w:color w:val="000000"/>
                <w:sz w:val="20"/>
              </w:rPr>
              <w:t>4) торговая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оптово-распределительных центрах специализирующихся на распределении, дополнительных зон:</w:t>
            </w:r>
          </w:p>
          <w:p>
            <w:pPr>
              <w:spacing w:after="20"/>
              <w:ind w:left="20"/>
              <w:jc w:val="both"/>
            </w:pPr>
            <w:r>
              <w:rPr>
                <w:rFonts w:ascii="Times New Roman"/>
                <w:b w:val="false"/>
                <w:i w:val="false"/>
                <w:color w:val="000000"/>
                <w:sz w:val="20"/>
              </w:rPr>
              <w:t>1) кросс-докинг;</w:t>
            </w:r>
          </w:p>
          <w:p>
            <w:pPr>
              <w:spacing w:after="20"/>
              <w:ind w:left="20"/>
              <w:jc w:val="both"/>
            </w:pPr>
            <w:r>
              <w:rPr>
                <w:rFonts w:ascii="Times New Roman"/>
                <w:b w:val="false"/>
                <w:i w:val="false"/>
                <w:color w:val="000000"/>
                <w:sz w:val="20"/>
              </w:rPr>
              <w:t>2) торгово-выставочная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технического оснащения оптово-распределительных центров следующим требованиям:</w:t>
            </w:r>
          </w:p>
          <w:p>
            <w:pPr>
              <w:spacing w:after="20"/>
              <w:ind w:left="20"/>
              <w:jc w:val="both"/>
            </w:pPr>
            <w:r>
              <w:rPr>
                <w:rFonts w:ascii="Times New Roman"/>
                <w:b w:val="false"/>
                <w:i w:val="false"/>
                <w:color w:val="000000"/>
                <w:sz w:val="20"/>
              </w:rPr>
              <w:t>1) регулируемый температурный режим в складской зоне и павильонах;</w:t>
            </w:r>
          </w:p>
          <w:p>
            <w:pPr>
              <w:spacing w:after="20"/>
              <w:ind w:left="20"/>
              <w:jc w:val="both"/>
            </w:pPr>
            <w:r>
              <w:rPr>
                <w:rFonts w:ascii="Times New Roman"/>
                <w:b w:val="false"/>
                <w:i w:val="false"/>
                <w:color w:val="000000"/>
                <w:sz w:val="20"/>
              </w:rPr>
              <w:t>2) наличие мест для досмотра товаров, в том числе пункта углубленного досмотра для транспортных средств, оснащенных искусственным освещением и оборудованных средствами видеонаблюдения, функционирующих в круглосуточном режиме, позволяющих осуществлять просмотр видеоинформации о происшедших событиях в течение последних тридцати календарных дней;</w:t>
            </w:r>
          </w:p>
          <w:p>
            <w:pPr>
              <w:spacing w:after="20"/>
              <w:ind w:left="20"/>
              <w:jc w:val="both"/>
            </w:pPr>
            <w:r>
              <w:rPr>
                <w:rFonts w:ascii="Times New Roman"/>
                <w:b w:val="false"/>
                <w:i w:val="false"/>
                <w:color w:val="000000"/>
                <w:sz w:val="20"/>
              </w:rPr>
              <w:t>3) наличие погрузочно-разгрузочной техники, сертифицированного весоизмерительного оборудования;</w:t>
            </w:r>
          </w:p>
          <w:p>
            <w:pPr>
              <w:spacing w:after="20"/>
              <w:ind w:left="20"/>
              <w:jc w:val="both"/>
            </w:pPr>
            <w:r>
              <w:rPr>
                <w:rFonts w:ascii="Times New Roman"/>
                <w:b w:val="false"/>
                <w:i w:val="false"/>
                <w:color w:val="000000"/>
                <w:sz w:val="20"/>
              </w:rPr>
              <w:t>4) наличие современных средств механизации погрузочно-разгрузочных работ;</w:t>
            </w:r>
          </w:p>
          <w:p>
            <w:pPr>
              <w:spacing w:after="20"/>
              <w:ind w:left="20"/>
              <w:jc w:val="both"/>
            </w:pPr>
            <w:r>
              <w:rPr>
                <w:rFonts w:ascii="Times New Roman"/>
                <w:b w:val="false"/>
                <w:i w:val="false"/>
                <w:color w:val="000000"/>
                <w:sz w:val="20"/>
              </w:rPr>
              <w:t>5) наличие рампы-навеса для грузового автотранспорта;</w:t>
            </w:r>
          </w:p>
          <w:p>
            <w:pPr>
              <w:spacing w:after="20"/>
              <w:ind w:left="20"/>
              <w:jc w:val="both"/>
            </w:pPr>
            <w:r>
              <w:rPr>
                <w:rFonts w:ascii="Times New Roman"/>
                <w:b w:val="false"/>
                <w:i w:val="false"/>
                <w:color w:val="000000"/>
                <w:sz w:val="20"/>
              </w:rPr>
              <w:t>6) наличие системы видеонаблюдения, обеспечивающей возможность ведения наблюдения за объектами (территорией) в режиме реального времени с сохранением данных в течение последних тридцати календарных дней, размещаемой в зданиях, на площадках, а также по всему периметру;</w:t>
            </w:r>
          </w:p>
          <w:p>
            <w:pPr>
              <w:spacing w:after="20"/>
              <w:ind w:left="20"/>
              <w:jc w:val="both"/>
            </w:pPr>
            <w:r>
              <w:rPr>
                <w:rFonts w:ascii="Times New Roman"/>
                <w:b w:val="false"/>
                <w:i w:val="false"/>
                <w:color w:val="000000"/>
                <w:sz w:val="20"/>
              </w:rPr>
              <w:t>7)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p>
          <w:p>
            <w:pPr>
              <w:spacing w:after="20"/>
              <w:ind w:left="20"/>
              <w:jc w:val="both"/>
            </w:pPr>
            <w:r>
              <w:rPr>
                <w:rFonts w:ascii="Times New Roman"/>
                <w:b w:val="false"/>
                <w:i w:val="false"/>
                <w:color w:val="000000"/>
                <w:sz w:val="20"/>
              </w:rPr>
              <w:t>8) наличие площадок для отстоя и маневрирования большегрузного транспорта;</w:t>
            </w:r>
          </w:p>
          <w:p>
            <w:pPr>
              <w:spacing w:after="20"/>
              <w:ind w:left="20"/>
              <w:jc w:val="both"/>
            </w:pPr>
            <w:r>
              <w:rPr>
                <w:rFonts w:ascii="Times New Roman"/>
                <w:b w:val="false"/>
                <w:i w:val="false"/>
                <w:color w:val="000000"/>
                <w:sz w:val="20"/>
              </w:rPr>
              <w:t>9) наличие территории с твердым покрытием по всему периметру, закрытым от прилегающей территории ограждением с удобными входами (выходами) и подъездными путями;</w:t>
            </w:r>
          </w:p>
          <w:p>
            <w:pPr>
              <w:spacing w:after="20"/>
              <w:ind w:left="20"/>
              <w:jc w:val="both"/>
            </w:pPr>
            <w:r>
              <w:rPr>
                <w:rFonts w:ascii="Times New Roman"/>
                <w:b w:val="false"/>
                <w:i w:val="false"/>
                <w:color w:val="000000"/>
                <w:sz w:val="20"/>
              </w:rPr>
              <w:t>10) наличие автоматизированной системы учета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администрацией оптово-распределительных центров утверждения регламента работы, в котором указывается режим работы, порядок доступа, перечень предоставляемых услуг, условия и порядок предоставления в аренду помещений (торговых мест), их характеристика, тарифы на все виды предоставляемых услуг и его размещение на территории оптово-распределительных центров в доступном месте и на интернет-ресурсе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14"/>
      <w:r>
        <w:rPr>
          <w:rFonts w:ascii="Times New Roman"/>
          <w:b w:val="false"/>
          <w:i w:val="false"/>
          <w:color w:val="000000"/>
          <w:sz w:val="28"/>
        </w:rPr>
        <w:t>
      Должностное (ые) лицо (а) ________________________________________</w:t>
      </w:r>
    </w:p>
    <w:bookmarkEnd w:id="11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 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