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c642" w14:textId="18fc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центра обработки данных и проведения международного или национального технического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сентября 2024 года № 613/НҚ. Зарегистрирован в Министерстве юстиции Республики Казахстан 30 сентября 2024 года № 35169.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Заместителя Премьер-Министра – Министра искусственного интеллекта и цифрового развития РК от 18.06.2026 </w:t>
      </w:r>
      <w:r>
        <w:rPr>
          <w:rFonts w:ascii="Times New Roman"/>
          <w:b w:val="false"/>
          <w:i w:val="false"/>
          <w:color w:val="ff0000"/>
          <w:sz w:val="28"/>
        </w:rPr>
        <w:t>№ 327/НҚ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08.01.2025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пунктами 3 и 4 статьи 13-3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деятельности центра обработки данных и проведения международного или национального технического аудита.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8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613/НҚ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центра обработки данных и проведения международного или национального технического аудита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пунктами 3 и 4 </w:t>
      </w:r>
      <w:r>
        <w:rPr>
          <w:rFonts w:ascii="Times New Roman"/>
          <w:b w:val="false"/>
          <w:i w:val="false"/>
          <w:color w:val="000000"/>
          <w:sz w:val="28"/>
        </w:rPr>
        <w:t>статьи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определяют порядок организации деятельности центра обработки данных и проведения международного или национального технического аудита (далее – Правила).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обработки данных (далее - ЦОД) – объект информационно-коммуникационной инфраструктуры, обеспечивающий отказоустойчивое и бесперебойное функционирование вычислительных ресурсов и телекоммуникационного оборудования, а также систем хранения и обработки данных;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технический аудит центра обработки данных –добровольная оценка надежности центров обработки данных;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связи (далее – уполномоченный орган) – центральный исполнительный орган, определяемый Правительством Республики Казахстан, осуществляющий реализацию государственной политики в области связи, государственный контроль, координацию и регулирование деятельности лиц, предоставляющих услуги в области связи или пользующихся ими;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оперативный центр информационной безопасности (далее – ОЦИБ) – юридическое лицо или структурное подразделение юридического лица, осуществляющее деятельность по защите электронных информационных ресурсов, информационных систем, сетей телекоммуникаций и других объектов информатизации;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классификация уровней надежности ЦОД (далее – классификация ЦОД по уровню) – стандартизированная система ранжирования, используемая для классификации ЦОД на основе времени его простоя, безотказной работы и надежности;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собственник ЦОД – юридическое лицо, зарегистрированное на территории Республики Казахстан или физическое лицо, имеющее на праве собственности ЦОД;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владелец ЦОД - юридическое лицо, зарегистрированное на территории Республики Казахстан или физическое лицо, получающее во временное владение и пользование ЦОД;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Необходимость (от английского слова need – далее N) – это необходимое определенное количество единиц оборудования и систем, без которого ЦОД не сможет штатно функционировать.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деятельности центра обработки данных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ЦОД предназначен для: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отказоустойчивого и бесперебойного функционирования вычислительных ресурсов и телекоммуникационного оборудования;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хранения и обработки данных.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ЦОД должен располагаться в отдельно стоящем здании и (или) сооружении или специально оборудованной части здания, сооружения.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ЦОД размещаются в отдельно стоящих зданиях и (или) сооружениях или специально оборудованной части здания, защищенной от природных катастроф (землетрясений, наводнений и других опасных природных явлений), с надлежащей гидроизоляцией и вентиляцией для поддержания оптимальных условий работы вычислительного и телекоммуникационного оборудования, наличие системы пожарной безопасности, включающей автоматическое обнаружение и тушение пожара, наличием системы контроля доступа и видеонаблюдения для обеспечения физической безопасности.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Здания и (или) сооружения или специально оборудованные части здания, сооружения должны соответствовать требованиям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ЦОД классифицируются по уровням и делятся на: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Tier I – 99,671% или 1729 минут простоя за год.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ЦОД уровня Tier I является базовым уровнем пропускной способности инфраструктуры для поддержки информационных технологий.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Tier I включает: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(схема резервирования N) отказы оборудования или ремонтные работы приводят к остановке работы всего ЦОД. В ЦОД отсутствуют фальшполы, резервные источники электроснабжения и источники бесперебойного питания. Инженерная инфраструктура не зарезервирована;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Tier II – 99,741% или 1361 минут простоя за год.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ЦОД уровня Tier II обеспечивает питание и охлаждение, гарантирующее более высокое качество обслуживания и безопасность при сбоях.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Tier II включает: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(схема резервирования – N + 1) минимальный уровень резервирования, в ЦОД обязательно имеются фальшполы и резервные источники электроснабжения и охлаждения, однако проведение ремонтных работ также вызывает остановку работы ЦОД;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Tier III – 99,982% или 95 минут простоя за год.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ЦОД уровня Tier III (схема резервирования – 2∙N или 2∙N + 1) имеет возможность проведения ремонтных работ (включая замену компонентов системы, добавление и удаление вышедшего из строя оборудования) без остановки работы ЦОД, инженерные системы однократно зарезервированы, имеется несколько каналов распределения электропитания и охлаждения, однако постоянно активен только один из них.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Tier IV – 99,995% или 26 минут простоя за год.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ЦОД уровня Tier IV (схема резервирования – 2∙(N + 1)) – имеется возможность проведения любых работ без остановки работы ЦОД, инженерные системы двукратно зарезервированы, то есть, продублированы как основная, так и дополнительная системы.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ЦОД оснащаются прецизионными системами для поддержания оптимальной температуры и влажности.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Резервные системы охлаждения предусматриваются для предотвращения перегрева вычислительного и телекоммуникационного оборудования в случае отказа основной системы.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доступа в помещения ЦОД осуществляется с помощью электронных систем идентификации.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Все критически важные системы ЦОД оборудуются системами мониторинга, позволяющими отслеживать их состояние в режиме реального времени.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национального технического аудита центров обработки данных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введения в эксплуатацию ЦОД проводится национальный технический аудит на добровольной основе.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обеспечения независимой оценки с целью определения классификации ЦОД по уровню собственник или владелец ЦОД направляет запрос в ОЦИБ для проведения национального технического аудита.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Технический аудит ЦОД осуществляется по инициативе и за счет собственника или владельца ЦОД.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технический аудит проводится ОЦИБ на основании договора, заключенного между ОЦИБ и собственником или владельцем ЦОД.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ходе национального технического аудита оцениваются соответствие ЦОД классификации ЦОД по уровню.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национального технического аудита ОЦИБ выдает заключение о классификации ЦОД по уровню.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выдачи предварительного заключения с перечнем препятствий (связанных с улучшением надежности таких как добавление второго, независимого ввода питания в здание ЦОД, закольцовывание альтернативных волоконно-оптических линий связи для получения более лучшего уровня классификации) для повышения классификации ЦОД по уровню, собственник или владелец ЦОД может устранить препятствия и запросить повторный аудит согласно договору.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ОЦИБ передает сведения о результатах национального технического аудита в уполномоченный орган, в течении 21 (двадцать один) рабочего дня с момента выдачи заключения согласно Приложения.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Собственник или владелец ЦОД размещают информацию о прохождении или не прохождении национального технического аудита ЦОД на своем интернет-ресурсе.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международного технического аудита центров обработки данных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введения в эксплуатацию ЦОД проводится международный технический аудит на добровольной основе.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Собственник или владелец ЦОД заключает договор на проведение международного технического аудита с международной компанией.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международного технического аудита собственник или владелец ЦОД получает заключение о классификации ЦОД по уровню.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Собственник или владелец ЦОД размещают информацию о прохождении или не прохождении международного технического аудита ЦОД на своем интернет-ресурсе.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центра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или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аудита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классификации ЦОД по уровню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ЦОД: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Форма собственности _____________________________________________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Год создания _____________________________________________________</w:t>
      </w:r>
    </w:p>
    <w:bookmarkEnd w:id="63"/>
    <w:p>
      <w:pPr>
        <w:spacing w:after="0"/>
        <w:ind w:left="0"/>
        <w:jc w:val="both"/>
      </w:pPr>
      <w:bookmarkStart w:name="z72" w:id="64"/>
      <w:r>
        <w:rPr>
          <w:rFonts w:ascii="Times New Roman"/>
          <w:b w:val="false"/>
          <w:i w:val="false"/>
          <w:color w:val="000000"/>
          <w:sz w:val="28"/>
        </w:rPr>
        <w:t>
      3. Адрес ___________________________________________________________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район, улица, № дома, телефон)</w:t>
      </w:r>
    </w:p>
    <w:p>
      <w:pPr>
        <w:spacing w:after="0"/>
        <w:ind w:left="0"/>
        <w:jc w:val="both"/>
      </w:pPr>
      <w:bookmarkStart w:name="z73" w:id="65"/>
      <w:r>
        <w:rPr>
          <w:rFonts w:ascii="Times New Roman"/>
          <w:b w:val="false"/>
          <w:i w:val="false"/>
          <w:color w:val="000000"/>
          <w:sz w:val="28"/>
        </w:rPr>
        <w:t>
      4. Контактные данные собственника или владельца ЦОД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рабочий телефон, электронный адрес)</w:t>
      </w:r>
    </w:p>
    <w:p>
      <w:pPr>
        <w:spacing w:after="0"/>
        <w:ind w:left="0"/>
        <w:jc w:val="both"/>
      </w:pPr>
      <w:bookmarkStart w:name="z74" w:id="66"/>
      <w:r>
        <w:rPr>
          <w:rFonts w:ascii="Times New Roman"/>
          <w:b w:val="false"/>
          <w:i w:val="false"/>
          <w:color w:val="000000"/>
          <w:sz w:val="28"/>
        </w:rPr>
        <w:t>
      5. Расчетный счет 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 № счета, наименование и местонахождение банка)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Банковские реквизиты ______________________________________________</w:t>
      </w:r>
    </w:p>
    <w:bookmarkEnd w:id="67"/>
    <w:p>
      <w:pPr>
        <w:spacing w:after="0"/>
        <w:ind w:left="0"/>
        <w:jc w:val="both"/>
      </w:pPr>
      <w:bookmarkStart w:name="z76" w:id="68"/>
      <w:r>
        <w:rPr>
          <w:rFonts w:ascii="Times New Roman"/>
          <w:b w:val="false"/>
          <w:i w:val="false"/>
          <w:color w:val="000000"/>
          <w:sz w:val="28"/>
        </w:rPr>
        <w:t>
      7. Бизнес идентификационный номер/индивидуальный идентификационный номер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77" w:id="69"/>
      <w:r>
        <w:rPr>
          <w:rFonts w:ascii="Times New Roman"/>
          <w:b w:val="false"/>
          <w:i w:val="false"/>
          <w:color w:val="000000"/>
          <w:sz w:val="28"/>
        </w:rPr>
        <w:t>
      8. Тип деятельности 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серия лицензии, в случае лицензионной деятельности)</w:t>
      </w:r>
    </w:p>
    <w:p>
      <w:pPr>
        <w:spacing w:after="0"/>
        <w:ind w:left="0"/>
        <w:jc w:val="both"/>
      </w:pPr>
      <w:bookmarkStart w:name="z78" w:id="70"/>
      <w:r>
        <w:rPr>
          <w:rFonts w:ascii="Times New Roman"/>
          <w:b w:val="false"/>
          <w:i w:val="false"/>
          <w:color w:val="000000"/>
          <w:sz w:val="28"/>
        </w:rPr>
        <w:t>
      Классификация по уровням (Tier):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Уровень: (отметить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[ ] Tier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[ ] Tier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[ ] Tier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[ ] Tier IV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уровня: _____________________________________________</w:t>
      </w:r>
    </w:p>
    <w:bookmarkEnd w:id="71"/>
    <w:p>
      <w:pPr>
        <w:spacing w:after="0"/>
        <w:ind w:left="0"/>
        <w:jc w:val="both"/>
      </w:pPr>
      <w:bookmarkStart w:name="z80" w:id="72"/>
      <w:r>
        <w:rPr>
          <w:rFonts w:ascii="Times New Roman"/>
          <w:b w:val="false"/>
          <w:i w:val="false"/>
          <w:color w:val="000000"/>
          <w:sz w:val="28"/>
        </w:rPr>
        <w:t>
      Оценка компонентов инфраструктуры: 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Соответствие требованиям уровня: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проведенных тестов и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Итоговый вывод о классификации уровня: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ответственных лиц: 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