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5595" w14:textId="a595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24 декабря 2018 года № 1104 "Об утверждении форм местной, основной и межстрановой отчетностей по трансфертному ценообразованию и Правил их заполнения"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сентября 2024 года № 633. Зарегистрирован в Министерстве юстиции Республики Казахстан 25 сентября 2024 года № 35117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декабря 2018 года № 1104 "Об утверждении форм местной, основной и межстрановой отчетностей по трансфертному ценообразованию и Правил их заполнения" (зарегистрирован в Реестре государственной регистрации нормативных правовых актов под № 18034)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местной отчетности по трансфертному ценообразованию, утвержденную согласно приложению 1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формы местной отчетности по трансфертному ценообразованию, утвержденных согласно приложению 2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заполнения формы местной отчетности по трансфертному ценообразованию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трансфертном ценообразовании" (далее – Закон) и определяют порядок заполнения участником сделки формы местной отчетности по трансфертному ценообразованию (далее – Отчетность).";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местный субъект – участник сделки, на которого возложена обязанность по представлению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Отчетность представляется в электронном виде с уведомлением о принятии Отчетности системой органа государственных доходов, допускающей компьютерную обработку информации, посредством системы приема и обработки налоговой отчетности органа государственных доходов и заверяется электронной цифровой подписью.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программного обеспечения либо обнаружения технических ошибок в программном обеспечении органа государственных доходов, участник сделки представляет Отчетность в электронном виде посредством единой платформы приема и обработки всех обращений граждан или единой системы электронного документооборота.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представления Отчетности в электронном виде, участник сделки предоставляет в орган государственных доходов удостоверяющие об этом документы и заполняет Отчетность на бумажном носителе, которую предоставляет с приложением копии на электронном носителе: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получением уведомления от почтовой связи;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явочном порядке на бумажном носителе в 2 (двух) экземплярах, 1 (один) из которых возвращается участнику сделки с отметкой органа государственных доходов о принятии.";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основной отчетности по трансфертному ценообразованию, утвержденную согласно приложению 3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633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1104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Местная отчетность по трансфертному ценообразованию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20___ год</w:t>
      </w:r>
    </w:p>
    <w:bookmarkEnd w:id="16"/>
    <w:p>
      <w:pPr>
        <w:spacing w:after="0"/>
        <w:ind w:left="0"/>
        <w:jc w:val="both"/>
      </w:pPr>
      <w:bookmarkStart w:name="z30" w:id="17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https://kgd.gov.kz/ru/content/transfertnoe-cenoobrazovanie-1-1.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013 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предоставляется: в 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Предоставляют: участники сделки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предоставления: не позднее 12 месяцев,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финансовым годом</w:t>
      </w:r>
    </w:p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Местный субъект</w:t>
      </w:r>
    </w:p>
    <w:bookmarkEnd w:id="18"/>
    <w:p>
      <w:pPr>
        <w:spacing w:after="0"/>
        <w:ind w:left="0"/>
        <w:jc w:val="both"/>
      </w:pPr>
      <w:bookmarkStart w:name="z32" w:id="19"/>
      <w:r>
        <w:rPr>
          <w:rFonts w:ascii="Times New Roman"/>
          <w:b w:val="false"/>
          <w:i w:val="false"/>
          <w:color w:val="000000"/>
          <w:sz w:val="28"/>
        </w:rPr>
        <w:t>
      1.1. Описание структуры управления Местного субъекта и организационная структура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33" w:id="20"/>
      <w:r>
        <w:rPr>
          <w:rFonts w:ascii="Times New Roman"/>
          <w:b w:val="false"/>
          <w:i w:val="false"/>
          <w:color w:val="000000"/>
          <w:sz w:val="28"/>
        </w:rPr>
        <w:t>
      1.2. Детальное описание предпринимательской деятельности Местного субъекта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стратегии ведения бизнеса, используемой Местным субъектом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34" w:id="21"/>
      <w:r>
        <w:rPr>
          <w:rFonts w:ascii="Times New Roman"/>
          <w:b w:val="false"/>
          <w:i w:val="false"/>
          <w:color w:val="000000"/>
          <w:sz w:val="28"/>
        </w:rPr>
        <w:t>
      1.3. Перечень основных конкурентов Местного субъекта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Контролируемые сделки</w:t>
      </w:r>
    </w:p>
    <w:bookmarkEnd w:id="22"/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2.1. Описание категорий контролируемых сделок (например, закуп услуг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производству, приобретение товаров, предоставление услуг, займы,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финансированию и исполнению обязательств, лицензирование нематериальных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активов) и обстоятельств, в которых осуществлялись контролируемые сделки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37" w:id="24"/>
      <w:r>
        <w:rPr>
          <w:rFonts w:ascii="Times New Roman"/>
          <w:b w:val="false"/>
          <w:i w:val="false"/>
          <w:color w:val="000000"/>
          <w:sz w:val="28"/>
        </w:rPr>
        <w:t>
      2.2. Суммы платежей и поступлений денежных средств по каждой категории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контролируемых сделок с участием Местного субъекта (например,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поступлений по оплате за товары, услуги, работы, лицензионных платежей,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вознаграждений) в разрезе налоговых юрисдикций, в которых зарегистрированы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иностранные получатели и плательщики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38" w:id="25"/>
      <w:r>
        <w:rPr>
          <w:rFonts w:ascii="Times New Roman"/>
          <w:b w:val="false"/>
          <w:i w:val="false"/>
          <w:color w:val="000000"/>
          <w:sz w:val="28"/>
        </w:rPr>
        <w:t>
      2.3. Перечень взаимосвязанных сторон, являющихся сторонами в каждой категории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контролируемых сделок, с указанием взаимосвязанности между ними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>
      2.4. Перечень прилагаемых копий материальных соглашений к настоящей отчетности,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заключенных Местным субъектом с взаимосвязанными сторонами, с указанием 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и сторон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>
      2.5. Функциональный анализ Местного субъекта и соответствующих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взаимосвязанных сторон в отношении каждой категорий контролируемых сделок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>
      2.6. Метод трансфертного ценообразования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2.7. Наименование взаимосвязанной стороны, которая выбрана в качестве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проверяемой стороны, обоснование выбора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43" w:id="30"/>
      <w:r>
        <w:rPr>
          <w:rFonts w:ascii="Times New Roman"/>
          <w:b w:val="false"/>
          <w:i w:val="false"/>
          <w:color w:val="000000"/>
          <w:sz w:val="28"/>
        </w:rPr>
        <w:t>
      2.8. Описание допущений, сделанных для применения метода трансфертного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ценообразования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44" w:id="31"/>
      <w:r>
        <w:rPr>
          <w:rFonts w:ascii="Times New Roman"/>
          <w:b w:val="false"/>
          <w:i w:val="false"/>
          <w:color w:val="000000"/>
          <w:sz w:val="28"/>
        </w:rPr>
        <w:t>
      2.9. Обоснование причин для проведения многолетнего анализа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45" w:id="32"/>
      <w:r>
        <w:rPr>
          <w:rFonts w:ascii="Times New Roman"/>
          <w:b w:val="false"/>
          <w:i w:val="false"/>
          <w:color w:val="000000"/>
          <w:sz w:val="28"/>
        </w:rPr>
        <w:t>
      2.10. Перечень и описание отобранных сопоставимых неконтролируемых сделок,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методологии поиска сопоставимых данных и источника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46" w:id="33"/>
      <w:r>
        <w:rPr>
          <w:rFonts w:ascii="Times New Roman"/>
          <w:b w:val="false"/>
          <w:i w:val="false"/>
          <w:color w:val="000000"/>
          <w:sz w:val="28"/>
        </w:rPr>
        <w:t>
      2.11. Описание корректировок, производимых для обеспечения сопоставимости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47" w:id="34"/>
      <w:r>
        <w:rPr>
          <w:rFonts w:ascii="Times New Roman"/>
          <w:b w:val="false"/>
          <w:i w:val="false"/>
          <w:color w:val="000000"/>
          <w:sz w:val="28"/>
        </w:rPr>
        <w:t>
      2.12. Обоснования соответствия цен принципу "вытянутой руки"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48" w:id="35"/>
      <w:r>
        <w:rPr>
          <w:rFonts w:ascii="Times New Roman"/>
          <w:b w:val="false"/>
          <w:i w:val="false"/>
          <w:color w:val="000000"/>
          <w:sz w:val="28"/>
        </w:rPr>
        <w:t>
      2.13. Финансовая информация, использованная для применения метода трансфертного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ценообразования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49" w:id="36"/>
      <w:r>
        <w:rPr>
          <w:rFonts w:ascii="Times New Roman"/>
          <w:b w:val="false"/>
          <w:i w:val="false"/>
          <w:color w:val="000000"/>
          <w:sz w:val="28"/>
        </w:rPr>
        <w:t>
      2.14. Сведения о прилагаемых к настоящей отчетности копиях действующих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соглашений о трансфертном ценообразовании и налоговых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Финансовая информация</w:t>
      </w:r>
    </w:p>
    <w:bookmarkEnd w:id="37"/>
    <w:p>
      <w:pPr>
        <w:spacing w:after="0"/>
        <w:ind w:left="0"/>
        <w:jc w:val="both"/>
      </w:pPr>
      <w:bookmarkStart w:name="z51" w:id="38"/>
      <w:r>
        <w:rPr>
          <w:rFonts w:ascii="Times New Roman"/>
          <w:b w:val="false"/>
          <w:i w:val="false"/>
          <w:color w:val="000000"/>
          <w:sz w:val="28"/>
        </w:rPr>
        <w:t>
      3.1. Ежегодная финансовая отчетность Местного субъекта за отчетный финансовый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52" w:id="39"/>
      <w:r>
        <w:rPr>
          <w:rFonts w:ascii="Times New Roman"/>
          <w:b w:val="false"/>
          <w:i w:val="false"/>
          <w:color w:val="000000"/>
          <w:sz w:val="28"/>
        </w:rPr>
        <w:t>
      3.2. Информация об определении финансовых данных Местного субъекта на основе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его годовой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53" w:id="40"/>
      <w:r>
        <w:rPr>
          <w:rFonts w:ascii="Times New Roman"/>
          <w:b w:val="false"/>
          <w:i w:val="false"/>
          <w:color w:val="000000"/>
          <w:sz w:val="28"/>
        </w:rPr>
        <w:t>
      3.3. Финансовые данные по сопоставимым неконтролируемым сделкам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Ответственность Местного субъекта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представления: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"___" _________ 20___года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органа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государственных доходов __ __ __ __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отчетность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входящий № документа: 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почтового штемпеля: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при направлении по почте)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субъектами 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предпринимательства):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</w:tc>
      </w:tr>
    </w:tbl>
    <w:p>
      <w:pPr>
        <w:spacing w:after="0"/>
        <w:ind w:left="0"/>
        <w:jc w:val="both"/>
      </w:pPr>
      <w:bookmarkStart w:name="z56" w:id="4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"Местная отчетность по трансфертному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ценообразованию" приведено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Правилах заполнения местной отчетности по трансфертному ценообразованию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2 к настоящему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633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1104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отчетность по трансфертному ценообразованию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20___год</w:t>
      </w:r>
    </w:p>
    <w:bookmarkEnd w:id="44"/>
    <w:p>
      <w:pPr>
        <w:spacing w:after="0"/>
        <w:ind w:left="0"/>
        <w:jc w:val="both"/>
      </w:pPr>
      <w:bookmarkStart w:name="z61" w:id="45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https://kgd.gov.kz/ru/content/transfertnoe-cenoobrazovanie-1-1.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014 ОО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предоставляется: в 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Предоставляют: участники международной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предоставления: в течение тридцати календарных дней со дня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участником международной группы требования от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основной отчетности.</w:t>
      </w:r>
    </w:p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Организационная структура</w:t>
      </w:r>
    </w:p>
    <w:bookmarkEnd w:id="46"/>
    <w:p>
      <w:pPr>
        <w:spacing w:after="0"/>
        <w:ind w:left="0"/>
        <w:jc w:val="both"/>
      </w:pPr>
      <w:bookmarkStart w:name="z63" w:id="47"/>
      <w:r>
        <w:rPr>
          <w:rFonts w:ascii="Times New Roman"/>
          <w:b w:val="false"/>
          <w:i w:val="false"/>
          <w:color w:val="000000"/>
          <w:sz w:val="28"/>
        </w:rPr>
        <w:t>
      1.1. Информация о юридической структуре и структуре собственности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(доле владения) международной группы, а также географическом расположении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(стране резидентства) компаний международной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деятельности международной группы</w:t>
      </w:r>
    </w:p>
    <w:bookmarkEnd w:id="48"/>
    <w:p>
      <w:pPr>
        <w:spacing w:after="0"/>
        <w:ind w:left="0"/>
        <w:jc w:val="both"/>
      </w:pPr>
      <w:bookmarkStart w:name="z65" w:id="49"/>
      <w:r>
        <w:rPr>
          <w:rFonts w:ascii="Times New Roman"/>
          <w:b w:val="false"/>
          <w:i w:val="false"/>
          <w:color w:val="000000"/>
          <w:sz w:val="28"/>
        </w:rPr>
        <w:t>
      2.1. Описание основных факторов, влияющих на прибыльность международной группы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bookmarkStart w:name="z66" w:id="50"/>
      <w:r>
        <w:rPr>
          <w:rFonts w:ascii="Times New Roman"/>
          <w:b w:val="false"/>
          <w:i w:val="false"/>
          <w:color w:val="000000"/>
          <w:sz w:val="28"/>
        </w:rPr>
        <w:t>
      2.2. Описание основных географических рынков реализации товаров, оказания услуг,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работ, указанных в пункте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bookmarkStart w:name="z67" w:id="51"/>
      <w:r>
        <w:rPr>
          <w:rFonts w:ascii="Times New Roman"/>
          <w:b w:val="false"/>
          <w:i w:val="false"/>
          <w:color w:val="000000"/>
          <w:sz w:val="28"/>
        </w:rPr>
        <w:t>
      2.3. Описание цепочки поставок до пяти крупнейших по размеру дохода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реализации товаров, (работ, услуг) международной группы и (или) любых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услуг, работ доход от реализации которых составил более 5% от выручки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группы в отчетном финансовом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bookmarkStart w:name="z68" w:id="52"/>
      <w:r>
        <w:rPr>
          <w:rFonts w:ascii="Times New Roman"/>
          <w:b w:val="false"/>
          <w:i w:val="false"/>
          <w:color w:val="000000"/>
          <w:sz w:val="28"/>
        </w:rPr>
        <w:t>
      2.4. Перечень и краткое описание существенных для международной группы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договоров об оказании услуг, выполнении работ, заключенных между 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группы, включая описание основных участников международной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групп, предоставляющих важные услуги, и политик по трансфертному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ценообразованию для распределения затрат на оказание услуг и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внутригрупповых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bookmarkStart w:name="z69" w:id="53"/>
      <w:r>
        <w:rPr>
          <w:rFonts w:ascii="Times New Roman"/>
          <w:b w:val="false"/>
          <w:i w:val="false"/>
          <w:color w:val="000000"/>
          <w:sz w:val="28"/>
        </w:rPr>
        <w:t>
      2.5. Краткий функциональный анализ, описывающий основной вклад отдельных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 международной группы в создании стоимости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bookmarkStart w:name="z70" w:id="54"/>
      <w:r>
        <w:rPr>
          <w:rFonts w:ascii="Times New Roman"/>
          <w:b w:val="false"/>
          <w:i w:val="false"/>
          <w:color w:val="000000"/>
          <w:sz w:val="28"/>
        </w:rPr>
        <w:t>
      2.6. Описание существенных для международной группы сделок реструктуризации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бизнеса, поглощения и разделения, имевших место в отчетном финансовом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Нематериальные активы международной группы</w:t>
      </w:r>
    </w:p>
    <w:bookmarkEnd w:id="55"/>
    <w:p>
      <w:pPr>
        <w:spacing w:after="0"/>
        <w:ind w:left="0"/>
        <w:jc w:val="both"/>
      </w:pPr>
      <w:bookmarkStart w:name="z72" w:id="56"/>
      <w:r>
        <w:rPr>
          <w:rFonts w:ascii="Times New Roman"/>
          <w:b w:val="false"/>
          <w:i w:val="false"/>
          <w:color w:val="000000"/>
          <w:sz w:val="28"/>
        </w:rPr>
        <w:t>
      3.1. Описание стратегии международной группы по созданию, владению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использованию нематериальных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bookmarkStart w:name="z73" w:id="57"/>
      <w:r>
        <w:rPr>
          <w:rFonts w:ascii="Times New Roman"/>
          <w:b w:val="false"/>
          <w:i w:val="false"/>
          <w:color w:val="000000"/>
          <w:sz w:val="28"/>
        </w:rPr>
        <w:t>
      3.2. Перечень нематериальных активов или групп нематериальных активов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группы, существенных для международной группы для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трансфертного ценообразования, с указанием наименований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группы, которые юридически владеют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bookmarkStart w:name="z74" w:id="58"/>
      <w:r>
        <w:rPr>
          <w:rFonts w:ascii="Times New Roman"/>
          <w:b w:val="false"/>
          <w:i w:val="false"/>
          <w:color w:val="000000"/>
          <w:sz w:val="28"/>
        </w:rPr>
        <w:t>
      3.3. Перечень существенных для международной группы соглашений, заключенных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участниками международной группы, в отношении нематериальных активов,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соглашения о взносах на покрытие расходов, соглашения о разработке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лицензионные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bookmarkStart w:name="z75" w:id="59"/>
      <w:r>
        <w:rPr>
          <w:rFonts w:ascii="Times New Roman"/>
          <w:b w:val="false"/>
          <w:i w:val="false"/>
          <w:color w:val="000000"/>
          <w:sz w:val="28"/>
        </w:rPr>
        <w:t>
      3.4. Описание политик трансфертного ценообразования международной группы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научно-исследовательской и опытно-конструкторской работы (НИОКР)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нематериальных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bookmarkStart w:name="z76" w:id="60"/>
      <w:r>
        <w:rPr>
          <w:rFonts w:ascii="Times New Roman"/>
          <w:b w:val="false"/>
          <w:i w:val="false"/>
          <w:color w:val="000000"/>
          <w:sz w:val="28"/>
        </w:rPr>
        <w:t>
      3.5. Общее описание существенных для международной группы сделок реализации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доли участия в нематериальных активах между участниками международной группы,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имевших место в течение отчетного финансового года (при наличии),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и страны резидентства соответствующих участников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 и вознаграждений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Финансовая деятельность международной группы</w:t>
      </w:r>
    </w:p>
    <w:bookmarkEnd w:id="61"/>
    <w:p>
      <w:pPr>
        <w:spacing w:after="0"/>
        <w:ind w:left="0"/>
        <w:jc w:val="both"/>
      </w:pPr>
      <w:bookmarkStart w:name="z78" w:id="62"/>
      <w:r>
        <w:rPr>
          <w:rFonts w:ascii="Times New Roman"/>
          <w:b w:val="false"/>
          <w:i w:val="false"/>
          <w:color w:val="000000"/>
          <w:sz w:val="28"/>
        </w:rPr>
        <w:t>
      4.1 Сведения о порядке финансирования международной группы и ее основных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участников, включая сделки с займодателями, не являющимися 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bookmarkStart w:name="z79" w:id="63"/>
      <w:r>
        <w:rPr>
          <w:rFonts w:ascii="Times New Roman"/>
          <w:b w:val="false"/>
          <w:i w:val="false"/>
          <w:color w:val="000000"/>
          <w:sz w:val="28"/>
        </w:rPr>
        <w:t>
      4.2. Перечень участников международной группы, осуществляющих функцию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централизованного финансирования в международной группе,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государства, в соответствии с законодательством которого, учреждены такие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участники международной группы, и места эффективного управления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 международной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bookmarkStart w:name="z80" w:id="64"/>
      <w:r>
        <w:rPr>
          <w:rFonts w:ascii="Times New Roman"/>
          <w:b w:val="false"/>
          <w:i w:val="false"/>
          <w:color w:val="000000"/>
          <w:sz w:val="28"/>
        </w:rPr>
        <w:t>
      4.3. Описание общих политик трансфертного ценообразования международной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группы в отношении финансовых сделок между участниками международной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Финансовая и налоговая информация международной группы</w:t>
      </w:r>
    </w:p>
    <w:bookmarkEnd w:id="65"/>
    <w:p>
      <w:pPr>
        <w:spacing w:after="0"/>
        <w:ind w:left="0"/>
        <w:jc w:val="both"/>
      </w:pPr>
      <w:bookmarkStart w:name="z82" w:id="66"/>
      <w:r>
        <w:rPr>
          <w:rFonts w:ascii="Times New Roman"/>
          <w:b w:val="false"/>
          <w:i w:val="false"/>
          <w:color w:val="000000"/>
          <w:sz w:val="28"/>
        </w:rPr>
        <w:t>
      5.1. Сведения о прилагаемой копии консолидированной финансовой отчетности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группы за отчетный финансовый год, подготовленной,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целей финансовой отчетности и (или) для внутренних управленческих,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налоговых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bookmarkStart w:name="z83" w:id="67"/>
      <w:r>
        <w:rPr>
          <w:rFonts w:ascii="Times New Roman"/>
          <w:b w:val="false"/>
          <w:i w:val="false"/>
          <w:color w:val="000000"/>
          <w:sz w:val="28"/>
        </w:rPr>
        <w:t>
      5.2. Перечень и краткое описание действующих односторонних соглашений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трансфертном ценообразовании международной группы и налоговых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распределении дохода между государствами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bookmarkStart w:name="z8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Ответственность участника международной группы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__ __ 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должностного лица, принявшего отчетность 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приема: "___" _________ 20___года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входящий № документа: 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почтового штемпеля: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при направлении по почте)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субъектами 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предпринимательства): ___________</w:t>
            </w:r>
          </w:p>
        </w:tc>
      </w:tr>
    </w:tbl>
    <w:p>
      <w:pPr>
        <w:spacing w:after="0"/>
        <w:ind w:left="0"/>
        <w:jc w:val="both"/>
      </w:pPr>
      <w:bookmarkStart w:name="z85" w:id="6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"Основная отчетность по трансфертному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ценообразованию" приведено в Правилах заполнения основной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трансфертному ценообразованию согласно приложению 4 к настоящему приказу.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