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7f46" w14:textId="b687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6 сентября 2024 года № 306. Зарегистрирован в Министерстве юстиции Республики Казахстан 9 сентября 2024 года № 35044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 (зарегистрирован в Реестре государственной регистрации нормативных правовых актов № 19753)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купонного вознаграждения по облигациям,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"11) льготная ставка вознаграждения по финансированию за счет краткосрочных/среднесрочных облигаций – ставка вознаграждения, размер которой составляет для заемщиков, за исключением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и конечных заемщиков – не более 5 (пять) % годовых, для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 не более 3 (три) % годовых;";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 Субсидирование купонного вознаграждения по облигационным займам эмитента, являющегося оператором по зерновому рынку, привлеченным после 1 января 2024 года, осуществляется на следующих условиях:</w:t>
      </w:r>
    </w:p>
    <w:bookmarkEnd w:id="4"/>
    <w:bookmarkStart w:name="z11" w:id="5"/>
    <w:p>
      <w:pPr>
        <w:spacing w:after="0"/>
        <w:ind w:left="0"/>
        <w:jc w:val="both"/>
      </w:pPr>
      <w:r>
        <w:rPr>
          <w:rFonts w:ascii="Times New Roman"/>
          <w:b w:val="false"/>
          <w:i w:val="false"/>
          <w:color w:val="000000"/>
          <w:sz w:val="28"/>
        </w:rPr>
        <w:t>
      1) субсидирование составляет полный размер ставки вознаграждения на каждый период выплаты от суммы каждого облигационного займа;</w:t>
      </w:r>
    </w:p>
    <w:bookmarkEnd w:id="5"/>
    <w:bookmarkStart w:name="z12" w:id="6"/>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6"/>
    <w:bookmarkStart w:name="z13" w:id="7"/>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облигациям эмитента, являющегося оператором по зерновому рынку, выпущенным с целью финансирования оплаты по договорам форвардного закупа сельскохозяйственной продукции, оплаты по договорам прямого закупа сельскохозяйственной продукции, рефинансирования и (или) погашения размещенных облигаций и привлеченных займов от финансовых институтов.</w:t>
      </w:r>
    </w:p>
    <w:bookmarkEnd w:id="7"/>
    <w:bookmarkStart w:name="z14" w:id="8"/>
    <w:p>
      <w:pPr>
        <w:spacing w:after="0"/>
        <w:ind w:left="0"/>
        <w:jc w:val="both"/>
      </w:pPr>
      <w:r>
        <w:rPr>
          <w:rFonts w:ascii="Times New Roman"/>
          <w:b w:val="false"/>
          <w:i w:val="false"/>
          <w:color w:val="000000"/>
          <w:sz w:val="28"/>
        </w:rPr>
        <w:t>
      10. Субсидирование купонного вознаграждения по краткосрочным/среднесрочным облигационным займам эмитента, привлеченным с 1 января 2024 года, осуществляется на следующих условиях:</w:t>
      </w:r>
    </w:p>
    <w:bookmarkEnd w:id="8"/>
    <w:bookmarkStart w:name="z15" w:id="9"/>
    <w:p>
      <w:pPr>
        <w:spacing w:after="0"/>
        <w:ind w:left="0"/>
        <w:jc w:val="both"/>
      </w:pPr>
      <w:r>
        <w:rPr>
          <w:rFonts w:ascii="Times New Roman"/>
          <w:b w:val="false"/>
          <w:i w:val="false"/>
          <w:color w:val="000000"/>
          <w:sz w:val="28"/>
        </w:rPr>
        <w:t>
      1) субсидирование составляет полный размер ставки вознаграждения от размера купонного вознаграждения облигационного займа;</w:t>
      </w:r>
    </w:p>
    <w:bookmarkEnd w:id="9"/>
    <w:bookmarkStart w:name="z16" w:id="10"/>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10"/>
    <w:bookmarkStart w:name="z17" w:id="11"/>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облигациям эмитента, выпущенным с целью рефинансирования и (или) погашения размещенных облигаций, по которым осуществляется субсидирование купонного вознаграждения, и привлеченных займов от финансовых институтов.";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12"/>
    <w:bookmarkStart w:name="z20" w:id="13"/>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bookmarkEnd w:id="13"/>
    <w:bookmarkStart w:name="z21" w:id="14"/>
    <w:p>
      <w:pPr>
        <w:spacing w:after="0"/>
        <w:ind w:left="0"/>
        <w:jc w:val="both"/>
      </w:pPr>
      <w:r>
        <w:rPr>
          <w:rFonts w:ascii="Times New Roman"/>
          <w:b w:val="false"/>
          <w:i w:val="false"/>
          <w:color w:val="000000"/>
          <w:sz w:val="28"/>
        </w:rPr>
        <w:t>
      В случае оплаты эмитентом, в том числе являющегося оператором по зерновому рынку,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bookmarkEnd w:id="14"/>
    <w:bookmarkStart w:name="z22" w:id="15"/>
    <w:p>
      <w:pPr>
        <w:spacing w:after="0"/>
        <w:ind w:left="0"/>
        <w:jc w:val="both"/>
      </w:pPr>
      <w:r>
        <w:rPr>
          <w:rFonts w:ascii="Times New Roman"/>
          <w:b w:val="false"/>
          <w:i w:val="false"/>
          <w:color w:val="000000"/>
          <w:sz w:val="28"/>
        </w:rPr>
        <w:t>
      Рабочий орган при наличии средств субсидий перечисляет авансовым платежом 100 % (сто процентов) купонного вознаграждения по облигациям, срок выпуска которых составляет до 18 (восемнадцать) месяцев включительно, на банковский счет эмитента, в том числе являющегося оператором по зерновому рынку, подлежащего уплате по облигациям, согласно заключенному соглашению.</w:t>
      </w:r>
    </w:p>
    <w:bookmarkEnd w:id="15"/>
    <w:bookmarkStart w:name="z23" w:id="16"/>
    <w:p>
      <w:pPr>
        <w:spacing w:after="0"/>
        <w:ind w:left="0"/>
        <w:jc w:val="both"/>
      </w:pPr>
      <w:r>
        <w:rPr>
          <w:rFonts w:ascii="Times New Roman"/>
          <w:b w:val="false"/>
          <w:i w:val="false"/>
          <w:color w:val="000000"/>
          <w:sz w:val="28"/>
        </w:rPr>
        <w:t>
      Допускается погашение эмитентом купонного вознаграждения по облигациям авансом.</w:t>
      </w:r>
    </w:p>
    <w:bookmarkEnd w:id="16"/>
    <w:bookmarkStart w:name="z24" w:id="17"/>
    <w:p>
      <w:pPr>
        <w:spacing w:after="0"/>
        <w:ind w:left="0"/>
        <w:jc w:val="both"/>
      </w:pPr>
      <w:r>
        <w:rPr>
          <w:rFonts w:ascii="Times New Roman"/>
          <w:b w:val="false"/>
          <w:i w:val="false"/>
          <w:color w:val="000000"/>
          <w:sz w:val="28"/>
        </w:rPr>
        <w:t>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эмитенту субсидий в размере 100% (сто процентов) купонного вознаграждения, производит кредитование заемщиков по льготной ставке вознаграждения по финансированию за счет краткосрочных/среднесрочных облигаций путем заключения договоров займа.</w:t>
      </w:r>
    </w:p>
    <w:bookmarkEnd w:id="17"/>
    <w:bookmarkStart w:name="z25" w:id="18"/>
    <w:p>
      <w:pPr>
        <w:spacing w:after="0"/>
        <w:ind w:left="0"/>
        <w:jc w:val="both"/>
      </w:pPr>
      <w:r>
        <w:rPr>
          <w:rFonts w:ascii="Times New Roman"/>
          <w:b w:val="false"/>
          <w:i w:val="false"/>
          <w:color w:val="000000"/>
          <w:sz w:val="28"/>
        </w:rPr>
        <w:t>
      За счет указанных краткосрочных/среднесрочных облигаций допускается:</w:t>
      </w:r>
    </w:p>
    <w:bookmarkEnd w:id="18"/>
    <w:bookmarkStart w:name="z26" w:id="19"/>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bookmarkEnd w:id="19"/>
    <w:bookmarkStart w:name="z27" w:id="20"/>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"28. Субсидирование купонного вознаграждения по долгосрочным облигациям эмитента со сроком обращения свыше 18 (восемнадцати) месяцев (далее – долгосрочные облигации) при кредитовании и лизинге субъектов агропромышленного комплекса, осуществляется по отдельной бюджетной программе.";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"36. Рабочий орган при наличии средств субсидий в течение 10 (десять) рабочих дней со дня поступления заявки на субсидирование, перечисляет авансовым платежом 100 % (сто процентов) купонного вознаграждения по долгосрочным облигациям на банковский счет эмитента, подлежащего уплате по облигациям за предстоящие 12 (двенадцать) месяцев, согласно заключенному соглашению.</w:t>
      </w:r>
    </w:p>
    <w:bookmarkEnd w:id="22"/>
    <w:bookmarkStart w:name="z32" w:id="23"/>
    <w:p>
      <w:pPr>
        <w:spacing w:after="0"/>
        <w:ind w:left="0"/>
        <w:jc w:val="both"/>
      </w:pPr>
      <w:r>
        <w:rPr>
          <w:rFonts w:ascii="Times New Roman"/>
          <w:b w:val="false"/>
          <w:i w:val="false"/>
          <w:color w:val="000000"/>
          <w:sz w:val="28"/>
        </w:rPr>
        <w:t>
      В рамках настоящей главы допускается погашение эмитентом купонного вознаграждения по облигациям авансом.</w:t>
      </w:r>
    </w:p>
    <w:bookmarkEnd w:id="23"/>
    <w:bookmarkStart w:name="z33" w:id="24"/>
    <w:p>
      <w:pPr>
        <w:spacing w:after="0"/>
        <w:ind w:left="0"/>
        <w:jc w:val="both"/>
      </w:pPr>
      <w:r>
        <w:rPr>
          <w:rFonts w:ascii="Times New Roman"/>
          <w:b w:val="false"/>
          <w:i w:val="false"/>
          <w:color w:val="000000"/>
          <w:sz w:val="28"/>
        </w:rPr>
        <w:t xml:space="preserve">
      37.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эмитенту субсидий в размере 100 % (сто процентов) купонного вознаграждения за предстоящие 12 (двенадцать) месяцев, производит финансирование в виде кредитов и/или лизинга заемщиков по льготной ставке вознаграждения по финансированию за счет средств долгосрочных облигаций путем заключения договоров кредита/лизинга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34" w:id="25"/>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25"/>
    <w:bookmarkStart w:name="z35"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6" w:id="2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7"/>
    <w:bookmarkStart w:name="z37"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8"/>
    <w:bookmarkStart w:name="z38"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40"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