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3be6" w14:textId="1163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31 июля 2024 года № 45. Зарегистрировано в Министерстве юстиции Республики Казахстан 31 июля 2024 года № 34859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20.08.2024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8"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 следующее изменение:</w:t>
      </w:r>
    </w:p>
    <w:bookmarkEnd w:id="3"/>
    <w:bookmarkStart w:name="z9" w:id="4"/>
    <w:p>
      <w:pPr>
        <w:spacing w:after="0"/>
        <w:ind w:left="0"/>
        <w:jc w:val="both"/>
      </w:pPr>
      <w:r>
        <w:rPr>
          <w:rFonts w:ascii="Times New Roman"/>
          <w:b w:val="false"/>
          <w:i w:val="false"/>
          <w:color w:val="000000"/>
          <w:sz w:val="28"/>
        </w:rPr>
        <w:t>
      в Пруденциальных нормативах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6" w:id="10"/>
    <w:p>
      <w:pPr>
        <w:spacing w:after="0"/>
        <w:ind w:left="0"/>
        <w:jc w:val="both"/>
      </w:pPr>
      <w:r>
        <w:rPr>
          <w:rFonts w:ascii="Times New Roman"/>
          <w:b w:val="false"/>
          <w:i w:val="false"/>
          <w:color w:val="000000"/>
          <w:sz w:val="28"/>
        </w:rPr>
        <w:t>
      5. Настоящее постановление вводится в действие с 20 августа 2024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планированию </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июля 2024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21" w:id="12"/>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 1) сумма займа не превышает 500 (пятьсот) миллионов тенге или 0,2 (ноль целых две десятых) процента от собственного капитала;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1) объем инвестиций в один выпуск ценных бумаг эмитента не превышает 0,02 (ноль целых две сотых) процента от собственного капитала;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 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5"/>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 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32" w:id="16"/>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6"/>
    <w:bookmarkStart w:name="z133" w:id="17"/>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7"/>
    <w:bookmarkStart w:name="z134" w:id="18"/>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18"/>
    <w:bookmarkStart w:name="z135" w:id="19"/>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9"/>
    <w:bookmarkStart w:name="z136" w:id="20"/>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20"/>
    <w:bookmarkStart w:name="z137" w:id="21"/>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21"/>
    <w:bookmarkStart w:name="z138" w:id="22"/>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22"/>
    <w:bookmarkStart w:name="z139" w:id="23"/>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23"/>
    <w:bookmarkStart w:name="z140" w:id="24"/>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24"/>
    <w:bookmarkStart w:name="z141" w:id="25"/>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25"/>
    <w:bookmarkStart w:name="z142" w:id="26"/>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26"/>
    <w:bookmarkStart w:name="z143" w:id="27"/>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27"/>
    <w:bookmarkStart w:name="z144" w:id="28"/>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28"/>
    <w:bookmarkStart w:name="z145" w:id="29"/>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29"/>
    <w:bookmarkStart w:name="z146" w:id="30"/>
    <w:p>
      <w:pPr>
        <w:spacing w:after="0"/>
        <w:ind w:left="0"/>
        <w:jc w:val="both"/>
      </w:pPr>
      <w:r>
        <w:rPr>
          <w:rFonts w:ascii="Times New Roman"/>
          <w:b w:val="false"/>
          <w:i w:val="false"/>
          <w:color w:val="000000"/>
          <w:sz w:val="28"/>
        </w:rPr>
        <w:t>
      3) являющимся гражданами оффшорных зон;</w:t>
      </w:r>
    </w:p>
    <w:bookmarkEnd w:id="30"/>
    <w:bookmarkStart w:name="z147" w:id="31"/>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31"/>
    <w:bookmarkStart w:name="z148" w:id="32"/>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2"/>
    <w:bookmarkStart w:name="z149" w:id="33"/>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33"/>
    <w:bookmarkStart w:name="z150" w:id="34"/>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34"/>
    <w:bookmarkStart w:name="z151" w:id="35"/>
    <w:p>
      <w:pPr>
        <w:spacing w:after="0"/>
        <w:ind w:left="0"/>
        <w:jc w:val="both"/>
      </w:pPr>
      <w:r>
        <w:rPr>
          <w:rFonts w:ascii="Times New Roman"/>
          <w:b w:val="false"/>
          <w:i w:val="false"/>
          <w:color w:val="000000"/>
          <w:sz w:val="28"/>
        </w:rPr>
        <w:t>
      взвешиваются по нулевой степени риска.</w:t>
      </w:r>
    </w:p>
    <w:bookmarkEnd w:id="35"/>
    <w:bookmarkStart w:name="z152" w:id="36"/>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6"/>
    <w:bookmarkStart w:name="z153" w:id="37"/>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37"/>
    <w:bookmarkStart w:name="z154" w:id="38"/>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38"/>
    <w:bookmarkStart w:name="z155" w:id="39"/>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39"/>
    <w:bookmarkStart w:name="z156" w:id="40"/>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40"/>
    <w:bookmarkStart w:name="z157" w:id="41"/>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41"/>
    <w:bookmarkStart w:name="z158" w:id="42"/>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42"/>
    <w:bookmarkStart w:name="z159" w:id="43"/>
    <w:p>
      <w:pPr>
        <w:spacing w:after="0"/>
        <w:ind w:left="0"/>
        <w:jc w:val="both"/>
      </w:pPr>
      <w:r>
        <w:rPr>
          <w:rFonts w:ascii="Times New Roman"/>
          <w:b w:val="false"/>
          <w:i w:val="false"/>
          <w:color w:val="000000"/>
          <w:sz w:val="28"/>
        </w:rPr>
        <w:t>
      11.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162" w:id="44"/>
    <w:p>
      <w:pPr>
        <w:spacing w:after="0"/>
        <w:ind w:left="0"/>
        <w:jc w:val="left"/>
      </w:pPr>
      <w:r>
        <w:rPr>
          <w:rFonts w:ascii="Times New Roman"/>
          <w:b/>
          <w:i w:val="false"/>
          <w:color w:val="000000"/>
        </w:rPr>
        <w:t xml:space="preserve"> Таблица активов организации, взвешенных по степени кредитного риска вложений</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5"/>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w:t>
            </w:r>
          </w:p>
          <w:p>
            <w:pPr>
              <w:spacing w:after="20"/>
              <w:ind w:left="20"/>
              <w:jc w:val="both"/>
            </w:pPr>
            <w:r>
              <w:rPr>
                <w:rFonts w:ascii="Times New Roman"/>
                <w:b w:val="false"/>
                <w:i w:val="false"/>
                <w:color w:val="000000"/>
                <w:sz w:val="20"/>
              </w:rPr>
              <w:t>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(семидесяти)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банковские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6"/>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7"/>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 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8"/>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9"/>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345" w:id="50"/>
    <w:p>
      <w:pPr>
        <w:spacing w:after="0"/>
        <w:ind w:left="0"/>
        <w:jc w:val="left"/>
      </w:pPr>
      <w:r>
        <w:rPr>
          <w:rFonts w:ascii="Times New Roman"/>
          <w:b/>
          <w:i w:val="false"/>
          <w:color w:val="000000"/>
        </w:rPr>
        <w:t xml:space="preserve"> Пояснения к расчету активов организации, взвешенных по степени кредитного риска вложений</w:t>
      </w:r>
    </w:p>
    <w:bookmarkEnd w:id="50"/>
    <w:bookmarkStart w:name="z346" w:id="51"/>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организации имеется обеспечение (в виде активов, указанных в строках 1, 2, 3, 4, 5, 6, 9, 10 и 11 настоящей Таблицы), скорректированная стоимость которого составляет не менее 50 (пятидесяти) процентов объема указанных активов, при наличии в организации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bookmarkEnd w:id="51"/>
    <w:bookmarkStart w:name="z347" w:id="52"/>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9, 10 и 11 настоящей Таблицы) равняется:</w:t>
      </w:r>
    </w:p>
    <w:bookmarkEnd w:id="52"/>
    <w:bookmarkStart w:name="z348" w:id="53"/>
    <w:p>
      <w:pPr>
        <w:spacing w:after="0"/>
        <w:ind w:left="0"/>
        <w:jc w:val="both"/>
      </w:pPr>
      <w:r>
        <w:rPr>
          <w:rFonts w:ascii="Times New Roman"/>
          <w:b w:val="false"/>
          <w:i w:val="false"/>
          <w:color w:val="000000"/>
          <w:sz w:val="28"/>
        </w:rPr>
        <w:t>
      100 (сто) процентов суммы вкладов, предоставленных в качестве обеспечения;</w:t>
      </w:r>
    </w:p>
    <w:bookmarkEnd w:id="53"/>
    <w:bookmarkStart w:name="z349" w:id="54"/>
    <w:p>
      <w:pPr>
        <w:spacing w:after="0"/>
        <w:ind w:left="0"/>
        <w:jc w:val="both"/>
      </w:pPr>
      <w:r>
        <w:rPr>
          <w:rFonts w:ascii="Times New Roman"/>
          <w:b w:val="false"/>
          <w:i w:val="false"/>
          <w:color w:val="000000"/>
          <w:sz w:val="28"/>
        </w:rPr>
        <w:t>
      95 (девяноста пять) процентов рыночной стоимости ценных бумаг, переданных в обеспечение;</w:t>
      </w:r>
    </w:p>
    <w:bookmarkEnd w:id="54"/>
    <w:bookmarkStart w:name="z350" w:id="55"/>
    <w:p>
      <w:pPr>
        <w:spacing w:after="0"/>
        <w:ind w:left="0"/>
        <w:jc w:val="both"/>
      </w:pPr>
      <w:r>
        <w:rPr>
          <w:rFonts w:ascii="Times New Roman"/>
          <w:b w:val="false"/>
          <w:i w:val="false"/>
          <w:color w:val="000000"/>
          <w:sz w:val="28"/>
        </w:rPr>
        <w:t>
      85 (восемьдесят пять) процентов рыночной стоимости аффинированных драгоценных металлов, переданных в обеспечение.</w:t>
      </w:r>
    </w:p>
    <w:bookmarkEnd w:id="55"/>
    <w:bookmarkStart w:name="z351" w:id="56"/>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w:t>
      </w:r>
    </w:p>
    <w:bookmarkEnd w:id="56"/>
    <w:bookmarkStart w:name="z352" w:id="57"/>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организации, гарантированные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организации) по степени риска должника.</w:t>
      </w:r>
    </w:p>
    <w:bookmarkEnd w:id="57"/>
    <w:bookmarkStart w:name="z353" w:id="58"/>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организации, взвешивается по степени риска дебиторской задолженности соответствующего гаранта (страховщика).</w:t>
      </w:r>
    </w:p>
    <w:bookmarkEnd w:id="58"/>
    <w:bookmarkStart w:name="z354" w:id="59"/>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59"/>
    <w:bookmarkStart w:name="z355" w:id="60"/>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60"/>
    <w:bookmarkStart w:name="z356" w:id="61"/>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61"/>
    <w:bookmarkStart w:name="z357" w:id="62"/>
    <w:p>
      <w:pPr>
        <w:spacing w:after="0"/>
        <w:ind w:left="0"/>
        <w:jc w:val="both"/>
      </w:pPr>
      <w:r>
        <w:rPr>
          <w:rFonts w:ascii="Times New Roman"/>
          <w:b w:val="false"/>
          <w:i w:val="false"/>
          <w:color w:val="000000"/>
          <w:sz w:val="28"/>
        </w:rPr>
        <w:t>
      3) являющимся гражданами оффшорных зон;</w:t>
      </w:r>
    </w:p>
    <w:bookmarkEnd w:id="62"/>
    <w:bookmarkStart w:name="z358" w:id="63"/>
    <w:p>
      <w:pPr>
        <w:spacing w:after="0"/>
        <w:ind w:left="0"/>
        <w:jc w:val="both"/>
      </w:pPr>
      <w:r>
        <w:rPr>
          <w:rFonts w:ascii="Times New Roman"/>
          <w:b w:val="false"/>
          <w:i w:val="false"/>
          <w:color w:val="000000"/>
          <w:sz w:val="28"/>
        </w:rPr>
        <w:t>
      взвешиваются по степени риска согласно настоящей Таблице, независимо от наличия обеспечения, указанного в пункте 1 настоящих Пояснений.</w:t>
      </w:r>
    </w:p>
    <w:bookmarkEnd w:id="63"/>
    <w:bookmarkStart w:name="z359" w:id="64"/>
    <w:p>
      <w:pPr>
        <w:spacing w:after="0"/>
        <w:ind w:left="0"/>
        <w:jc w:val="both"/>
      </w:pPr>
      <w:r>
        <w:rPr>
          <w:rFonts w:ascii="Times New Roman"/>
          <w:b w:val="false"/>
          <w:i w:val="false"/>
          <w:color w:val="000000"/>
          <w:sz w:val="28"/>
        </w:rPr>
        <w:t>
      4. Взвешиваются по 0 (нулевой) степени риска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64"/>
    <w:bookmarkStart w:name="z360" w:id="65"/>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65"/>
    <w:bookmarkStart w:name="z361" w:id="66"/>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оффшорных зон,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66"/>
    <w:bookmarkStart w:name="z362" w:id="67"/>
    <w:p>
      <w:pPr>
        <w:spacing w:after="0"/>
        <w:ind w:left="0"/>
        <w:jc w:val="both"/>
      </w:pPr>
      <w:r>
        <w:rPr>
          <w:rFonts w:ascii="Times New Roman"/>
          <w:b w:val="false"/>
          <w:i w:val="false"/>
          <w:color w:val="000000"/>
          <w:sz w:val="28"/>
        </w:rPr>
        <w:t>
      5. Для целей расчета активов организации, взвешенных по степени кредитного риска вложений:</w:t>
      </w:r>
    </w:p>
    <w:bookmarkEnd w:id="67"/>
    <w:bookmarkStart w:name="z363" w:id="68"/>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68"/>
    <w:bookmarkStart w:name="z364" w:id="69"/>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69"/>
    <w:bookmarkStart w:name="z365" w:id="70"/>
    <w:p>
      <w:pPr>
        <w:spacing w:after="0"/>
        <w:ind w:left="0"/>
        <w:jc w:val="both"/>
      </w:pPr>
      <w:r>
        <w:rPr>
          <w:rFonts w:ascii="Times New Roman"/>
          <w:b w:val="false"/>
          <w:i w:val="false"/>
          <w:color w:val="000000"/>
          <w:sz w:val="28"/>
        </w:rPr>
        <w:t>
      6. Ценные бумаги, являющиеся предметом операции "обратное репо", заключенной с участием центрального контрагента, взвешиваются по нулевой степени риска.</w:t>
      </w:r>
    </w:p>
    <w:bookmarkEnd w:id="70"/>
    <w:bookmarkStart w:name="z366" w:id="71"/>
    <w:p>
      <w:pPr>
        <w:spacing w:after="0"/>
        <w:ind w:left="0"/>
        <w:jc w:val="both"/>
      </w:pPr>
      <w:r>
        <w:rPr>
          <w:rFonts w:ascii="Times New Roman"/>
          <w:b w:val="false"/>
          <w:i w:val="false"/>
          <w:color w:val="000000"/>
          <w:sz w:val="28"/>
        </w:rPr>
        <w:t>
      7. Для целей настоящих Пруденциальных нормативов под понятием заем понимается осуществление организацией заемных, лизинговых, факторинговых, форфейтинговых операций.</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