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327c" w14:textId="7bf3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10 сентября 2021 года 158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5 июля 2024 года № 107. Зарегистрирован в Министерстве юстиции Республики Казахстан 5 июля 2024 года № 34713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(зарегистрирован в Реестре государственной регистрации нормативных правовых актов за № 24350)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ведения личного дела государственного служащего, утвержденном вышеуказанным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выписки из актов Президента Республики Казахстан о награждении государственными наградами и юбилейными медалями, из иных актов о награждении ведомственными наградами, а также копии грамот и благодарностей (при наличии);";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копия военного билета (при наличии);";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16), 17) и 18)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данные о бизнес-идентификационных номерах организаций и индивидуальных идентификационных номерах индивидуальных предпринимателей, в которых служащий осуществлял трудовую деятельность (при наличии);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данные об индивидуальных идентификационных номерах близких родственников;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сертификаты Qazaq resmi test/Qaztest и (или) об уровне владения иностранного языка, действительные на момент формирования или обновления личного дела (при наличии);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данные о личных достижениях, связанных с профессиональной деятельностью;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данные о социально-общественной деятельности и способностей служащего в сфере науки, культуры, искусства и спорта.";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и 4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Данные, указанные в подпунктах 14), 15), 16), 17) и 18) пункта 1 настоящего перечня, введутся исключительно в информационной системе "Е-қызмет" без их хранения в бумажном виде.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качественного ведения личного дела государственного служащего в информационной системе "Е-қызмет" в соответствии с законодательством возлагается на руководителя аппарата государственного органа, а в государственных органах, в которых отсутствует должность руководителя аппарата, – на лицо, имеющее право назначения на государственную должность.".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