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214f" w14:textId="ddb2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26 июня 2024 года № 12. Зарегистрирован в Министерстве юстиции Республики Казахстан 28 июня 2024 года № 34635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20076)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4" w:id="8"/>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2024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21 ақпандағы</w:t>
            </w:r>
          </w:p>
          <w:p>
            <w:pPr>
              <w:spacing w:after="20"/>
              <w:ind w:left="20"/>
              <w:jc w:val="both"/>
            </w:pPr>
            <w:r>
              <w:rPr>
                <w:rFonts w:ascii="Times New Roman"/>
                <w:b w:val="false"/>
                <w:i w:val="false"/>
                <w:color w:val="000000"/>
                <w:sz w:val="20"/>
              </w:rPr>
              <w:t>№ 24 бұйрығына 19-қосымша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p>
            <w:pPr>
              <w:spacing w:after="20"/>
              <w:ind w:left="20"/>
              <w:jc w:val="both"/>
            </w:pPr>
            <w:r>
              <w:rPr>
                <w:rFonts w:ascii="Times New Roman"/>
                <w:b w:val="false"/>
                <w:i w:val="false"/>
                <w:color w:val="000000"/>
                <w:sz w:val="20"/>
              </w:rPr>
              <w:t>Отчет о затратах на охрану окружающей среды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Срок представления – до 15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ресурстарды пайдаланатын, ластаушы заттар шығарындылары мен төгінділерінің тұрақты көздері, өндірістік және тұтыну қалдықтары бар, табиғатты қорғау қызметін жүзеге асыратын объектінің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и потребления, осуществляющие природоохранную деятельность (независимо от места регистрации) –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бөлімшелеріңің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3" w:id="12"/>
      <w:r>
        <w:rPr>
          <w:rFonts w:ascii="Times New Roman"/>
          <w:b w:val="false"/>
          <w:i w:val="false"/>
          <w:color w:val="000000"/>
          <w:sz w:val="28"/>
        </w:rPr>
        <w:t>
      2. Табиғатты қорғау қызметінің түрлері бойынша қоршаған ортаны қорғауға жұмсалған ағымдағы шығындардың жалпы көлемін және оның қаржыландыру көздерін көрсетіңіз, мың теңгеде</w:t>
      </w:r>
    </w:p>
    <w:bookmarkEnd w:id="12"/>
    <w:p>
      <w:pPr>
        <w:spacing w:after="0"/>
        <w:ind w:left="0"/>
        <w:jc w:val="both"/>
      </w:pPr>
      <w:r>
        <w:rPr>
          <w:rFonts w:ascii="Times New Roman"/>
          <w:b w:val="false"/>
          <w:i w:val="false"/>
          <w:color w:val="000000"/>
          <w:sz w:val="28"/>
        </w:rPr>
        <w:t>Укажите объем текущих затрат, направленных на охрану окружающей среды по видам природоохранной деятельностии источники их финансирования,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1</w:t>
            </w:r>
            <w:r>
              <w:rPr>
                <w:rFonts w:ascii="Times New Roman"/>
                <w:b w:val="false"/>
                <w:i w:val="false"/>
                <w:color w:val="000000"/>
                <w:sz w:val="20"/>
              </w:rPr>
              <w:t xml:space="preserve">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проблемалары</w:t>
            </w:r>
          </w:p>
          <w:p>
            <w:pPr>
              <w:spacing w:after="20"/>
              <w:ind w:left="20"/>
              <w:jc w:val="both"/>
            </w:pPr>
            <w:r>
              <w:rPr>
                <w:rFonts w:ascii="Times New Roman"/>
                <w:b w:val="false"/>
                <w:i w:val="false"/>
                <w:color w:val="000000"/>
                <w:sz w:val="20"/>
              </w:rPr>
              <w:t>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 w:id="13"/>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ҚОҚҚШ және РБЖ – Қазақстан Республикасы Стратегиялық жоспарлау және реформалар агенттігінің Ұлттық статистика бюросының интернет-ресурсында орналастырылған Қоршаған ортаны қорғау бойынша қызметтер, шығындар түрлері және ресурстарды басқару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КДЗООС и УР – Справочник видов деятельности, затрат по охране окружающей среды и управления ресурсами, размещенный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парниктік газдардың эмиссиясын азайту</w:t>
            </w:r>
          </w:p>
          <w:p>
            <w:pPr>
              <w:spacing w:after="20"/>
              <w:ind w:left="20"/>
              <w:jc w:val="both"/>
            </w:pPr>
            <w:r>
              <w:rPr>
                <w:rFonts w:ascii="Times New Roman"/>
                <w:b w:val="false"/>
                <w:i w:val="false"/>
                <w:color w:val="000000"/>
                <w:sz w:val="20"/>
              </w:rPr>
              <w:t>снижение эмиссий парниковых газов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сатып алу</w:t>
            </w:r>
          </w:p>
          <w:p>
            <w:pPr>
              <w:spacing w:after="20"/>
              <w:ind w:left="20"/>
              <w:jc w:val="both"/>
            </w:pPr>
            <w:r>
              <w:rPr>
                <w:rFonts w:ascii="Times New Roman"/>
                <w:b w:val="false"/>
                <w:i w:val="false"/>
                <w:color w:val="000000"/>
                <w:sz w:val="20"/>
              </w:rPr>
              <w:t>приобретение углеродных единиц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Очистка сточных вод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Обращение с отходами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Защита и реабилитация почвы, подземных и поверхностных вод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етуді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Снижение шумового и вибрационного воздействия (исключая мероприятия внутризаводского характера по охране труда на рабочих местах)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Сохранение биоразнообразия и ландшафтов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қауіпсіздік мәселелерін қоспағанда)</w:t>
            </w:r>
          </w:p>
          <w:p>
            <w:pPr>
              <w:spacing w:after="20"/>
              <w:ind w:left="20"/>
              <w:jc w:val="both"/>
            </w:pPr>
            <w:r>
              <w:rPr>
                <w:rFonts w:ascii="Times New Roman"/>
                <w:b w:val="false"/>
                <w:i w:val="false"/>
                <w:color w:val="000000"/>
                <w:sz w:val="20"/>
              </w:rPr>
              <w:t>Радиационная безопасность (исключая вопросы внешней государственной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Научные исследования и разработки в области охраны окружающей среды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Другие направления природоохранной деятельности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деятельность в области возобновляемых источников энергии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w:t>
            </w:r>
          </w:p>
          <w:p>
            <w:pPr>
              <w:spacing w:after="20"/>
              <w:ind w:left="20"/>
              <w:jc w:val="both"/>
            </w:pPr>
            <w:r>
              <w:rPr>
                <w:rFonts w:ascii="Times New Roman"/>
                <w:b w:val="false"/>
                <w:i w:val="false"/>
                <w:color w:val="000000"/>
                <w:sz w:val="20"/>
              </w:rPr>
              <w:t>деятельность в области энергосберегающих технологий и повышения энергоэффективности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 w:id="14"/>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1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стационарный мобильный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Исполнитель _________________________________________________ 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подпись, телефон (исполнителя)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Главный бухгалтер или лицо, исполняющее его обязанности</w:t>
            </w:r>
          </w:p>
          <w:p>
            <w:pPr>
              <w:spacing w:after="20"/>
              <w:ind w:left="20"/>
              <w:jc w:val="both"/>
            </w:pPr>
            <w:r>
              <w:rPr>
                <w:rFonts w:ascii="Times New Roman"/>
                <w:b w:val="false"/>
                <w:i w:val="false"/>
                <w:color w:val="000000"/>
                <w:sz w:val="20"/>
              </w:rPr>
              <w:t>________________ 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Руководитель или лицо, исполняющее его обязанности</w:t>
            </w:r>
          </w:p>
          <w:p>
            <w:pPr>
              <w:spacing w:after="20"/>
              <w:ind w:left="20"/>
              <w:jc w:val="both"/>
            </w:pPr>
            <w:r>
              <w:rPr>
                <w:rFonts w:ascii="Times New Roman"/>
                <w:b w:val="false"/>
                <w:i w:val="false"/>
                <w:color w:val="000000"/>
                <w:sz w:val="20"/>
              </w:rPr>
              <w:t>___________________ 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bl>
    <w:p>
      <w:pPr>
        <w:spacing w:after="0"/>
        <w:ind w:left="0"/>
        <w:jc w:val="both"/>
      </w:pPr>
      <w:bookmarkStart w:name="z28" w:id="15"/>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2024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31" w:id="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затратах на охрану окружающей среды"</w:t>
      </w:r>
      <w:r>
        <w:br/>
      </w:r>
      <w:r>
        <w:rPr>
          <w:rFonts w:ascii="Times New Roman"/>
          <w:b/>
          <w:i w:val="false"/>
          <w:color w:val="000000"/>
        </w:rPr>
        <w:t>(индекс 4-ОС, периодичность годовая)</w:t>
      </w:r>
    </w:p>
    <w:bookmarkEnd w:id="16"/>
    <w:bookmarkStart w:name="z32" w:id="1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затратах на охрану окружающей среды" (индекс 4-ОС, периодичность годовая) (далее – статистическая форма).</w:t>
      </w:r>
    </w:p>
    <w:bookmarkEnd w:id="17"/>
    <w:bookmarkStart w:name="z33" w:id="1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8"/>
    <w:bookmarkStart w:name="z34" w:id="19"/>
    <w:p>
      <w:pPr>
        <w:spacing w:after="0"/>
        <w:ind w:left="0"/>
        <w:jc w:val="both"/>
      </w:pPr>
      <w:r>
        <w:rPr>
          <w:rFonts w:ascii="Times New Roman"/>
          <w:b w:val="false"/>
          <w:i w:val="false"/>
          <w:color w:val="000000"/>
          <w:sz w:val="28"/>
        </w:rPr>
        <w:t>
      1)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19"/>
    <w:bookmarkStart w:name="z35" w:id="20"/>
    <w:p>
      <w:pPr>
        <w:spacing w:after="0"/>
        <w:ind w:left="0"/>
        <w:jc w:val="both"/>
      </w:pPr>
      <w:r>
        <w:rPr>
          <w:rFonts w:ascii="Times New Roman"/>
          <w:b w:val="false"/>
          <w:i w:val="false"/>
          <w:color w:val="000000"/>
          <w:sz w:val="28"/>
        </w:rPr>
        <w:t>
      2) справочник видов деятельности и затрат по охране окружающей среды и управления ресурсами (далее – КДЗООС и УР) – справочник, предназначен для классификации видов деятельности, характеризующих охрану окружающей среды, а также управления природными ресурсами;</w:t>
      </w:r>
    </w:p>
    <w:bookmarkEnd w:id="20"/>
    <w:bookmarkStart w:name="z36" w:id="21"/>
    <w:p>
      <w:pPr>
        <w:spacing w:after="0"/>
        <w:ind w:left="0"/>
        <w:jc w:val="both"/>
      </w:pPr>
      <w:r>
        <w:rPr>
          <w:rFonts w:ascii="Times New Roman"/>
          <w:b w:val="false"/>
          <w:i w:val="false"/>
          <w:color w:val="000000"/>
          <w:sz w:val="28"/>
        </w:rPr>
        <w:t>
      3) текущие затраты на охрану окружающей среды – расходы предприятий и организаций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соблюдения экологического законодательства, предотвращения, уменьшения, очистки (переработки) и (или) устранения загрязняющих веществ (продуктов), сохранения топливно-энергетических ресурсов;</w:t>
      </w:r>
    </w:p>
    <w:bookmarkEnd w:id="21"/>
    <w:bookmarkStart w:name="z37" w:id="22"/>
    <w:p>
      <w:pPr>
        <w:spacing w:after="0"/>
        <w:ind w:left="0"/>
        <w:jc w:val="both"/>
      </w:pPr>
      <w:r>
        <w:rPr>
          <w:rFonts w:ascii="Times New Roman"/>
          <w:b w:val="false"/>
          <w:i w:val="false"/>
          <w:color w:val="000000"/>
          <w:sz w:val="28"/>
        </w:rPr>
        <w:t>
      4) собственные средства – средства предприятий, организаций, населения;</w:t>
      </w:r>
    </w:p>
    <w:bookmarkEnd w:id="22"/>
    <w:bookmarkStart w:name="z38" w:id="23"/>
    <w:p>
      <w:pPr>
        <w:spacing w:after="0"/>
        <w:ind w:left="0"/>
        <w:jc w:val="both"/>
      </w:pPr>
      <w:r>
        <w:rPr>
          <w:rFonts w:ascii="Times New Roman"/>
          <w:b w:val="false"/>
          <w:i w:val="false"/>
          <w:color w:val="000000"/>
          <w:sz w:val="28"/>
        </w:rPr>
        <w:t>
      5)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23"/>
    <w:bookmarkStart w:name="z39" w:id="24"/>
    <w:p>
      <w:pPr>
        <w:spacing w:after="0"/>
        <w:ind w:left="0"/>
        <w:jc w:val="both"/>
      </w:pPr>
      <w:r>
        <w:rPr>
          <w:rFonts w:ascii="Times New Roman"/>
          <w:b w:val="false"/>
          <w:i w:val="false"/>
          <w:color w:val="000000"/>
          <w:sz w:val="28"/>
        </w:rPr>
        <w:t>
      3. Статистическая форма заполняется на основании данных бухгалтерского и первичного учета фактических затрат на охрану окружающей среды.</w:t>
      </w:r>
    </w:p>
    <w:bookmarkEnd w:id="24"/>
    <w:bookmarkStart w:name="z40" w:id="25"/>
    <w:p>
      <w:pPr>
        <w:spacing w:after="0"/>
        <w:ind w:left="0"/>
        <w:jc w:val="both"/>
      </w:pPr>
      <w:r>
        <w:rPr>
          <w:rFonts w:ascii="Times New Roman"/>
          <w:b w:val="false"/>
          <w:i w:val="false"/>
          <w:color w:val="000000"/>
          <w:sz w:val="28"/>
        </w:rPr>
        <w:t>
      4. В разделе 1 указывается фактическое местонахождение объекта, использующего природные ресурсы, имеющие выбросы и сбросы загрязняющих веществ, отходы производства и потребления осуществляющие природоохранную деятельность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государственной статистики.</w:t>
      </w:r>
    </w:p>
    <w:bookmarkEnd w:id="25"/>
    <w:bookmarkStart w:name="z41" w:id="26"/>
    <w:p>
      <w:pPr>
        <w:spacing w:after="0"/>
        <w:ind w:left="0"/>
        <w:jc w:val="both"/>
      </w:pPr>
      <w:r>
        <w:rPr>
          <w:rFonts w:ascii="Times New Roman"/>
          <w:b w:val="false"/>
          <w:i w:val="false"/>
          <w:color w:val="000000"/>
          <w:sz w:val="28"/>
        </w:rPr>
        <w:t>
      5. При заполнении раздела 2 необходимо руководствоваться КДЗООС и УР, размещенным на официальном сайте Бюро национальной статистики Агентства по стратегическому планированию и реформам Республики Казахстан (www.stat.gov.kz).</w:t>
      </w:r>
    </w:p>
    <w:bookmarkEnd w:id="26"/>
    <w:bookmarkStart w:name="z42" w:id="27"/>
    <w:p>
      <w:pPr>
        <w:spacing w:after="0"/>
        <w:ind w:left="0"/>
        <w:jc w:val="both"/>
      </w:pPr>
      <w:r>
        <w:rPr>
          <w:rFonts w:ascii="Times New Roman"/>
          <w:b w:val="false"/>
          <w:i w:val="false"/>
          <w:color w:val="000000"/>
          <w:sz w:val="28"/>
        </w:rPr>
        <w:t>
      В графе 1 раздела 2 указывается фактическая сумма текущих затрат, образующаяся в процессе внутрипроизводственной деятельности связанные с охраной окружающей среды.</w:t>
      </w:r>
    </w:p>
    <w:bookmarkEnd w:id="27"/>
    <w:bookmarkStart w:name="z43" w:id="28"/>
    <w:p>
      <w:pPr>
        <w:spacing w:after="0"/>
        <w:ind w:left="0"/>
        <w:jc w:val="both"/>
      </w:pPr>
      <w:r>
        <w:rPr>
          <w:rFonts w:ascii="Times New Roman"/>
          <w:b w:val="false"/>
          <w:i w:val="false"/>
          <w:color w:val="000000"/>
          <w:sz w:val="28"/>
        </w:rPr>
        <w:t>
      К текущим затратам на охрану окружающей среды относятся текущие (эксплуатационные) расходы хозяйствующих субъектов, связанные с деятельностью по охране окружающей среды.</w:t>
      </w:r>
    </w:p>
    <w:bookmarkEnd w:id="28"/>
    <w:bookmarkStart w:name="z44" w:id="29"/>
    <w:p>
      <w:pPr>
        <w:spacing w:after="0"/>
        <w:ind w:left="0"/>
        <w:jc w:val="both"/>
      </w:pPr>
      <w:r>
        <w:rPr>
          <w:rFonts w:ascii="Times New Roman"/>
          <w:b w:val="false"/>
          <w:i w:val="false"/>
          <w:color w:val="000000"/>
          <w:sz w:val="28"/>
        </w:rPr>
        <w:t>
      В состав текущих затрат на охрану окружающей среды включаются:</w:t>
      </w:r>
    </w:p>
    <w:bookmarkEnd w:id="29"/>
    <w:bookmarkStart w:name="z45" w:id="30"/>
    <w:p>
      <w:pPr>
        <w:spacing w:after="0"/>
        <w:ind w:left="0"/>
        <w:jc w:val="both"/>
      </w:pPr>
      <w:r>
        <w:rPr>
          <w:rFonts w:ascii="Times New Roman"/>
          <w:b w:val="false"/>
          <w:i w:val="false"/>
          <w:color w:val="000000"/>
          <w:sz w:val="28"/>
        </w:rPr>
        <w:t>
      1) содержание и эксплуатация основных фондов по охране окружающей среды (без расходов на их модернизацию и реконструкцию): сырье, материалы и другие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платежи по страховке, касающиеся природоохранных сооружений и оборудования;</w:t>
      </w:r>
    </w:p>
    <w:bookmarkEnd w:id="30"/>
    <w:bookmarkStart w:name="z46" w:id="31"/>
    <w:p>
      <w:pPr>
        <w:spacing w:after="0"/>
        <w:ind w:left="0"/>
        <w:jc w:val="both"/>
      </w:pPr>
      <w:r>
        <w:rPr>
          <w:rFonts w:ascii="Times New Roman"/>
          <w:b w:val="false"/>
          <w:i w:val="false"/>
          <w:color w:val="000000"/>
          <w:sz w:val="28"/>
        </w:rPr>
        <w:t>
      2) затраты на сбор, хранение или захоронение и переработку или обезвреживание, уничтожение, размещение отходов производства и потребления собственными силами;</w:t>
      </w:r>
    </w:p>
    <w:bookmarkEnd w:id="31"/>
    <w:bookmarkStart w:name="z47" w:id="32"/>
    <w:p>
      <w:pPr>
        <w:spacing w:after="0"/>
        <w:ind w:left="0"/>
        <w:jc w:val="both"/>
      </w:pPr>
      <w:r>
        <w:rPr>
          <w:rFonts w:ascii="Times New Roman"/>
          <w:b w:val="false"/>
          <w:i w:val="false"/>
          <w:color w:val="000000"/>
          <w:sz w:val="28"/>
        </w:rPr>
        <w:t>
      3)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bookmarkEnd w:id="32"/>
    <w:bookmarkStart w:name="z48" w:id="33"/>
    <w:p>
      <w:pPr>
        <w:spacing w:after="0"/>
        <w:ind w:left="0"/>
        <w:jc w:val="both"/>
      </w:pPr>
      <w:r>
        <w:rPr>
          <w:rFonts w:ascii="Times New Roman"/>
          <w:b w:val="false"/>
          <w:i w:val="false"/>
          <w:color w:val="000000"/>
          <w:sz w:val="28"/>
        </w:rPr>
        <w:t>
      4)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bookmarkEnd w:id="33"/>
    <w:bookmarkStart w:name="z49" w:id="34"/>
    <w:p>
      <w:pPr>
        <w:spacing w:after="0"/>
        <w:ind w:left="0"/>
        <w:jc w:val="both"/>
      </w:pPr>
      <w:r>
        <w:rPr>
          <w:rFonts w:ascii="Times New Roman"/>
          <w:b w:val="false"/>
          <w:i w:val="false"/>
          <w:color w:val="000000"/>
          <w:sz w:val="28"/>
        </w:rPr>
        <w:t>
      5) средства, выделяемые на финансовое обеспечение исполнения своих обязательств по ликвидации последствий эксплуатации таких объектов, в том числе в отношении требований, которые возникнут в будущем;</w:t>
      </w:r>
    </w:p>
    <w:bookmarkEnd w:id="34"/>
    <w:bookmarkStart w:name="z50" w:id="35"/>
    <w:p>
      <w:pPr>
        <w:spacing w:after="0"/>
        <w:ind w:left="0"/>
        <w:jc w:val="both"/>
      </w:pPr>
      <w:r>
        <w:rPr>
          <w:rFonts w:ascii="Times New Roman"/>
          <w:b w:val="false"/>
          <w:i w:val="false"/>
          <w:color w:val="000000"/>
          <w:sz w:val="28"/>
        </w:rPr>
        <w:t>
      6) прочие текущие мероприятия по снижению вредного воздействия на окружающую среду.</w:t>
      </w:r>
    </w:p>
    <w:bookmarkEnd w:id="35"/>
    <w:bookmarkStart w:name="z51" w:id="36"/>
    <w:p>
      <w:pPr>
        <w:spacing w:after="0"/>
        <w:ind w:left="0"/>
        <w:jc w:val="both"/>
      </w:pPr>
      <w:r>
        <w:rPr>
          <w:rFonts w:ascii="Times New Roman"/>
          <w:b w:val="false"/>
          <w:i w:val="false"/>
          <w:color w:val="000000"/>
          <w:sz w:val="28"/>
        </w:rPr>
        <w:t>
      В состав текущих затрат на охрану окружающей среды не включаются:</w:t>
      </w:r>
    </w:p>
    <w:bookmarkEnd w:id="36"/>
    <w:bookmarkStart w:name="z52" w:id="37"/>
    <w:p>
      <w:pPr>
        <w:spacing w:after="0"/>
        <w:ind w:left="0"/>
        <w:jc w:val="both"/>
      </w:pPr>
      <w:r>
        <w:rPr>
          <w:rFonts w:ascii="Times New Roman"/>
          <w:b w:val="false"/>
          <w:i w:val="false"/>
          <w:color w:val="000000"/>
          <w:sz w:val="28"/>
        </w:rPr>
        <w:t>
      1) строительство объектов по охране окружающей среды;</w:t>
      </w:r>
    </w:p>
    <w:bookmarkEnd w:id="37"/>
    <w:bookmarkStart w:name="z53" w:id="38"/>
    <w:p>
      <w:pPr>
        <w:spacing w:after="0"/>
        <w:ind w:left="0"/>
        <w:jc w:val="both"/>
      </w:pPr>
      <w:r>
        <w:rPr>
          <w:rFonts w:ascii="Times New Roman"/>
          <w:b w:val="false"/>
          <w:i w:val="false"/>
          <w:color w:val="000000"/>
          <w:sz w:val="28"/>
        </w:rPr>
        <w:t>
      2) капитальный ремонт природоохранных основных фондов;</w:t>
      </w:r>
    </w:p>
    <w:bookmarkEnd w:id="38"/>
    <w:bookmarkStart w:name="z54" w:id="39"/>
    <w:p>
      <w:pPr>
        <w:spacing w:after="0"/>
        <w:ind w:left="0"/>
        <w:jc w:val="both"/>
      </w:pPr>
      <w:r>
        <w:rPr>
          <w:rFonts w:ascii="Times New Roman"/>
          <w:b w:val="false"/>
          <w:i w:val="false"/>
          <w:color w:val="000000"/>
          <w:sz w:val="28"/>
        </w:rPr>
        <w:t>
      3) амортизационные отчисления по основным фондам природоохранного назначения.</w:t>
      </w:r>
    </w:p>
    <w:bookmarkEnd w:id="39"/>
    <w:bookmarkStart w:name="z55" w:id="40"/>
    <w:p>
      <w:pPr>
        <w:spacing w:after="0"/>
        <w:ind w:left="0"/>
        <w:jc w:val="both"/>
      </w:pPr>
      <w:r>
        <w:rPr>
          <w:rFonts w:ascii="Times New Roman"/>
          <w:b w:val="false"/>
          <w:i w:val="false"/>
          <w:color w:val="000000"/>
          <w:sz w:val="28"/>
        </w:rPr>
        <w:t>
      В графе 2 указываются материальные затраты, включающие затраты на приобретение сырья и (или) материалов, инструментов, приспособлений, инвентаря; комплектующих изделий и (или) полуфабрикатов; топлива, энергии всех видов, необходимых для функционирования основных фондов природоохранного назначения и выполнения других работ по охране окружающей среды. При заполнении данной графы используются данные форм первичной бухгалтерской отчетности. К материальным затратам не включаются покупки хозяйственного инвентаря (например, покупка граблей, перчаток, веников).</w:t>
      </w:r>
    </w:p>
    <w:bookmarkEnd w:id="40"/>
    <w:bookmarkStart w:name="z56" w:id="41"/>
    <w:p>
      <w:pPr>
        <w:spacing w:after="0"/>
        <w:ind w:left="0"/>
        <w:jc w:val="both"/>
      </w:pPr>
      <w:r>
        <w:rPr>
          <w:rFonts w:ascii="Times New Roman"/>
          <w:b w:val="false"/>
          <w:i w:val="false"/>
          <w:color w:val="000000"/>
          <w:sz w:val="28"/>
        </w:rPr>
        <w:t>
      В графе 3 указываются затраты на оплату труда и отчисления на социальные нужды (включая отчисления во внебюджетные фонды) работникам, связанных с эксплуатацией природоохранного оборудования и проведением других мероприятий по охране окружающей среды, которые включают сумму заработной платы и выплаты социального характера, начисленных работникам списочного состава и внешним совместителям. Сюда входят работники, непосредственно занятые по эксплуатации и обслуживанию природоохранных объектов. Также, включается оплата труда и социальные выплаты при проведении других средозащитных мероприятий (по вывозу и захоронению отходов производства и потребления и другие), а также зарплата эколога. В данном показателе также отражается оплата труда работников заводских лабораторий, осуществляющих мониторинг (контрольные замеры, учет, контроль и другие) в области охраны окружающей среды. Не включаются разовые выплаты водителям по развозке сотрудников, водителям по пылеподавлению дороги до карьер и разовые выплаты по услугам в сфере коммунального хозяйства (например, подметание территории, ремонт водоотвода на крыше от дождя).</w:t>
      </w:r>
    </w:p>
    <w:bookmarkEnd w:id="41"/>
    <w:bookmarkStart w:name="z57" w:id="42"/>
    <w:p>
      <w:pPr>
        <w:spacing w:after="0"/>
        <w:ind w:left="0"/>
        <w:jc w:val="both"/>
      </w:pPr>
      <w:r>
        <w:rPr>
          <w:rFonts w:ascii="Times New Roman"/>
          <w:b w:val="false"/>
          <w:i w:val="false"/>
          <w:color w:val="000000"/>
          <w:sz w:val="28"/>
        </w:rPr>
        <w:t>
      В графе 4 указывается сумма фактической оплаты сторонним организациям за оказанные природоохранные услуги:</w:t>
      </w:r>
    </w:p>
    <w:bookmarkEnd w:id="42"/>
    <w:bookmarkStart w:name="z58" w:id="43"/>
    <w:p>
      <w:pPr>
        <w:spacing w:after="0"/>
        <w:ind w:left="0"/>
        <w:jc w:val="both"/>
      </w:pPr>
      <w:r>
        <w:rPr>
          <w:rFonts w:ascii="Times New Roman"/>
          <w:b w:val="false"/>
          <w:i w:val="false"/>
          <w:color w:val="000000"/>
          <w:sz w:val="28"/>
        </w:rPr>
        <w:t>
      1) прием, транспортировку и очистку сточных вод;</w:t>
      </w:r>
    </w:p>
    <w:bookmarkEnd w:id="43"/>
    <w:bookmarkStart w:name="z59" w:id="44"/>
    <w:p>
      <w:pPr>
        <w:spacing w:after="0"/>
        <w:ind w:left="0"/>
        <w:jc w:val="both"/>
      </w:pPr>
      <w:r>
        <w:rPr>
          <w:rFonts w:ascii="Times New Roman"/>
          <w:b w:val="false"/>
          <w:i w:val="false"/>
          <w:color w:val="000000"/>
          <w:sz w:val="28"/>
        </w:rPr>
        <w:t>
      2) сбор, транспортировку (вывоз), временное хранение, переработку (обезвреживание), уничтожение и (или) захоронение отходов производства и потребления;</w:t>
      </w:r>
    </w:p>
    <w:bookmarkEnd w:id="44"/>
    <w:bookmarkStart w:name="z60" w:id="45"/>
    <w:p>
      <w:pPr>
        <w:spacing w:after="0"/>
        <w:ind w:left="0"/>
        <w:jc w:val="both"/>
      </w:pPr>
      <w:r>
        <w:rPr>
          <w:rFonts w:ascii="Times New Roman"/>
          <w:b w:val="false"/>
          <w:i w:val="false"/>
          <w:color w:val="000000"/>
          <w:sz w:val="28"/>
        </w:rPr>
        <w:t>
      3) другие услуги по охране окружающей среды, в том числе разработка оценки воздействия на окружающую среду и предварительной оценки воздействия на окружающую среду, проведение инвентаризации источников загрязнения, разработка проектов нормативов предельно допустимых выбросов загрязняющих веществ в атмосферу, разработка проектов санитарно-защитных зон предприятий, работы по оценке рисков для здоровья населения при воздействии факторов окружающей среды, разработка проектов нормативов допустимых сбросов веществ и микроорганизмов в водные объекты, разработка проектов нормативов образования отходов и лимитов на их размещение, экологическую сертификацию и аудит, другие аналогичные услуги и работы.</w:t>
      </w:r>
    </w:p>
    <w:bookmarkEnd w:id="45"/>
    <w:bookmarkStart w:name="z61" w:id="46"/>
    <w:p>
      <w:pPr>
        <w:spacing w:after="0"/>
        <w:ind w:left="0"/>
        <w:jc w:val="both"/>
      </w:pPr>
      <w:r>
        <w:rPr>
          <w:rFonts w:ascii="Times New Roman"/>
          <w:b w:val="false"/>
          <w:i w:val="false"/>
          <w:color w:val="000000"/>
          <w:sz w:val="28"/>
        </w:rPr>
        <w:t>
      В графах 5-8 указывается объем текущих затрат по источникам их финансирования: бюджетные (республиканский и местный), собственные средства, прочие.</w:t>
      </w:r>
    </w:p>
    <w:bookmarkEnd w:id="46"/>
    <w:bookmarkStart w:name="z62" w:id="47"/>
    <w:p>
      <w:pPr>
        <w:spacing w:after="0"/>
        <w:ind w:left="0"/>
        <w:jc w:val="both"/>
      </w:pPr>
      <w:r>
        <w:rPr>
          <w:rFonts w:ascii="Times New Roman"/>
          <w:b w:val="false"/>
          <w:i w:val="false"/>
          <w:color w:val="000000"/>
          <w:sz w:val="28"/>
        </w:rPr>
        <w:t>
      Прочие средства включают заемные средства, кредиты банков, денежные средства, полученные от других юридических лиц и другие.</w:t>
      </w:r>
    </w:p>
    <w:bookmarkEnd w:id="47"/>
    <w:bookmarkStart w:name="z63" w:id="48"/>
    <w:p>
      <w:pPr>
        <w:spacing w:after="0"/>
        <w:ind w:left="0"/>
        <w:jc w:val="both"/>
      </w:pPr>
      <w:r>
        <w:rPr>
          <w:rFonts w:ascii="Times New Roman"/>
          <w:b w:val="false"/>
          <w:i w:val="false"/>
          <w:color w:val="000000"/>
          <w:sz w:val="28"/>
        </w:rPr>
        <w:t>
      При заполнении строки 6 "Защита биоразнообразия и ландшафтов" данного раздела, необходимо отражать данные связанные с охраной и восстановлением различных видов флоры и фауны, экосистем и ареалов обитания, защитой и восстановлением природных и полуприродных ландшафтов. Не входят затраты по озеленению территории, связанные с благоустройством (посадка цветов или деревьев вдоль дороги, озеленение территории и так далее).</w:t>
      </w:r>
    </w:p>
    <w:bookmarkEnd w:id="48"/>
    <w:bookmarkStart w:name="z64" w:id="49"/>
    <w:p>
      <w:pPr>
        <w:spacing w:after="0"/>
        <w:ind w:left="0"/>
        <w:jc w:val="both"/>
      </w:pPr>
      <w:r>
        <w:rPr>
          <w:rFonts w:ascii="Times New Roman"/>
          <w:b w:val="false"/>
          <w:i w:val="false"/>
          <w:color w:val="000000"/>
          <w:sz w:val="28"/>
        </w:rPr>
        <w:t>
      По строке 8 "Научные исследования и разработки в области охраны окружающей среды" указываются затраты на оценку последствий негативного воздействия на окружающую среду, разработки концепций, научных прогнозов и планов сохранения и восстановления окружающей среды. Затраты, направленные на предотвращение чрезвычайных ситуаций техногенного характера не включаются.</w:t>
      </w:r>
    </w:p>
    <w:bookmarkEnd w:id="49"/>
    <w:bookmarkStart w:name="z65" w:id="50"/>
    <w:p>
      <w:pPr>
        <w:spacing w:after="0"/>
        <w:ind w:left="0"/>
        <w:jc w:val="both"/>
      </w:pPr>
      <w:r>
        <w:rPr>
          <w:rFonts w:ascii="Times New Roman"/>
          <w:b w:val="false"/>
          <w:i w:val="false"/>
          <w:color w:val="000000"/>
          <w:sz w:val="28"/>
        </w:rPr>
        <w:t xml:space="preserve">
      6.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50"/>
    <w:bookmarkStart w:name="z66" w:id="51"/>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51"/>
    <w:bookmarkStart w:name="z67" w:id="52"/>
    <w:p>
      <w:pPr>
        <w:spacing w:after="0"/>
        <w:ind w:left="0"/>
        <w:jc w:val="both"/>
      </w:pPr>
      <w:r>
        <w:rPr>
          <w:rFonts w:ascii="Times New Roman"/>
          <w:b w:val="false"/>
          <w:i w:val="false"/>
          <w:color w:val="000000"/>
          <w:sz w:val="28"/>
        </w:rPr>
        <w:t>
      8. Арифметико-логический контроль:</w:t>
      </w:r>
    </w:p>
    <w:bookmarkEnd w:id="52"/>
    <w:bookmarkStart w:name="z68" w:id="53"/>
    <w:p>
      <w:pPr>
        <w:spacing w:after="0"/>
        <w:ind w:left="0"/>
        <w:jc w:val="both"/>
      </w:pPr>
      <w:r>
        <w:rPr>
          <w:rFonts w:ascii="Times New Roman"/>
          <w:b w:val="false"/>
          <w:i w:val="false"/>
          <w:color w:val="000000"/>
          <w:sz w:val="28"/>
        </w:rPr>
        <w:t>
      Раздел 2 графа 1 графа 2 + графа 3 + графа 4 для каждой строки;</w:t>
      </w:r>
    </w:p>
    <w:bookmarkEnd w:id="53"/>
    <w:bookmarkStart w:name="z69" w:id="54"/>
    <w:p>
      <w:pPr>
        <w:spacing w:after="0"/>
        <w:ind w:left="0"/>
        <w:jc w:val="both"/>
      </w:pPr>
      <w:r>
        <w:rPr>
          <w:rFonts w:ascii="Times New Roman"/>
          <w:b w:val="false"/>
          <w:i w:val="false"/>
          <w:color w:val="000000"/>
          <w:sz w:val="28"/>
        </w:rPr>
        <w:t>
      Раздел 2 графа 1 = графа 5 + графа 6 + графа 7 + графа 8 для каждой строки;</w:t>
      </w:r>
    </w:p>
    <w:bookmarkEnd w:id="54"/>
    <w:bookmarkStart w:name="z70" w:id="55"/>
    <w:p>
      <w:pPr>
        <w:spacing w:after="0"/>
        <w:ind w:left="0"/>
        <w:jc w:val="both"/>
      </w:pPr>
      <w:r>
        <w:rPr>
          <w:rFonts w:ascii="Times New Roman"/>
          <w:b w:val="false"/>
          <w:i w:val="false"/>
          <w:color w:val="000000"/>
          <w:sz w:val="28"/>
        </w:rPr>
        <w:t>
      Строка 1 строка 1.1;</w:t>
      </w:r>
    </w:p>
    <w:bookmarkEnd w:id="55"/>
    <w:bookmarkStart w:name="z71" w:id="56"/>
    <w:p>
      <w:pPr>
        <w:spacing w:after="0"/>
        <w:ind w:left="0"/>
        <w:jc w:val="both"/>
      </w:pPr>
      <w:r>
        <w:rPr>
          <w:rFonts w:ascii="Times New Roman"/>
          <w:b w:val="false"/>
          <w:i w:val="false"/>
          <w:color w:val="000000"/>
          <w:sz w:val="28"/>
        </w:rPr>
        <w:t>
      Строка 9 строка 9.1 + строка 9.2.</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