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1184" w14:textId="bcd11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25 июня 2024 года № 228. Зарегистрирован в Министерстве юстиции Республики Казахстан 27 июня 2024 года № 34600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 (зарегистрирован в Реестре государственной регистрации нормативных правовых актов за № 12684)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застройки и прохождения разрешительных процедур в сфере строительства,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"15. При проектировании населенных пунктов, формировании жилых районов, благоустройстве вновь осваиваемых и реконструируемых территорий и населенных пунктов обеспечивается доступ маломобильных групп населения к жилым, общественным и производственным зданиям, сооружениям и помещениям.</w:t>
      </w:r>
    </w:p>
    <w:bookmarkEnd w:id="3"/>
    <w:bookmarkStart w:name="z10" w:id="4"/>
    <w:p>
      <w:pPr>
        <w:spacing w:after="0"/>
        <w:ind w:left="0"/>
        <w:jc w:val="both"/>
      </w:pPr>
      <w:r>
        <w:rPr>
          <w:rFonts w:ascii="Times New Roman"/>
          <w:b w:val="false"/>
          <w:i w:val="false"/>
          <w:color w:val="000000"/>
          <w:sz w:val="28"/>
        </w:rPr>
        <w:t>
      При проектировании автомобильных стоянок, размещаемых на территории жилых и общественных зданий, предусматриваются места для личных автотранспортных средств маломобильных групп населения.</w:t>
      </w:r>
    </w:p>
    <w:bookmarkEnd w:id="4"/>
    <w:bookmarkStart w:name="z11" w:id="5"/>
    <w:p>
      <w:pPr>
        <w:spacing w:after="0"/>
        <w:ind w:left="0"/>
        <w:jc w:val="both"/>
      </w:pPr>
      <w:r>
        <w:rPr>
          <w:rFonts w:ascii="Times New Roman"/>
          <w:b w:val="false"/>
          <w:i w:val="false"/>
          <w:color w:val="000000"/>
          <w:sz w:val="28"/>
        </w:rPr>
        <w:t>
      Застройка многоквартирными жилыми зданиями (домами) жилых зон без учета размещения объектов социальной инфраструктуры (объектов образования и здравоохранения) не допускается.";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"23. Реализация проектов по реконструкции (перепланировке, переоборудованию)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осуществляется следующими этапами:</w:t>
      </w:r>
    </w:p>
    <w:bookmarkEnd w:id="6"/>
    <w:bookmarkStart w:name="z14" w:id="7"/>
    <w:p>
      <w:pPr>
        <w:spacing w:after="0"/>
        <w:ind w:left="0"/>
        <w:jc w:val="both"/>
      </w:pPr>
      <w:r>
        <w:rPr>
          <w:rFonts w:ascii="Times New Roman"/>
          <w:b w:val="false"/>
          <w:i w:val="false"/>
          <w:color w:val="000000"/>
          <w:sz w:val="28"/>
        </w:rPr>
        <w:t>
      1) получение исходных материалов для реконструкции (перепланировки, переоборудования) помещений (отдельных частей) существующих зданий;</w:t>
      </w:r>
    </w:p>
    <w:bookmarkEnd w:id="7"/>
    <w:bookmarkStart w:name="z15" w:id="8"/>
    <w:p>
      <w:pPr>
        <w:spacing w:after="0"/>
        <w:ind w:left="0"/>
        <w:jc w:val="both"/>
      </w:pPr>
      <w:r>
        <w:rPr>
          <w:rFonts w:ascii="Times New Roman"/>
          <w:b w:val="false"/>
          <w:i w:val="false"/>
          <w:color w:val="000000"/>
          <w:sz w:val="28"/>
        </w:rPr>
        <w:t>
      2) проектирование и экспертиза проектов для реконструкции (перепланировки, переоборудования);</w:t>
      </w:r>
    </w:p>
    <w:bookmarkEnd w:id="8"/>
    <w:bookmarkStart w:name="z16" w:id="9"/>
    <w:p>
      <w:pPr>
        <w:spacing w:after="0"/>
        <w:ind w:left="0"/>
        <w:jc w:val="both"/>
      </w:pPr>
      <w:r>
        <w:rPr>
          <w:rFonts w:ascii="Times New Roman"/>
          <w:b w:val="false"/>
          <w:i w:val="false"/>
          <w:color w:val="000000"/>
          <w:sz w:val="28"/>
        </w:rPr>
        <w:t>
      3) уведомление органов, осуществляющих государственный архитектурно-строительный контроль и надзор о начале производства строительно-монтажных работ и осуществление строительно-монтажных работ;</w:t>
      </w:r>
    </w:p>
    <w:bookmarkEnd w:id="9"/>
    <w:bookmarkStart w:name="z17" w:id="10"/>
    <w:p>
      <w:pPr>
        <w:spacing w:after="0"/>
        <w:ind w:left="0"/>
        <w:jc w:val="both"/>
      </w:pPr>
      <w:r>
        <w:rPr>
          <w:rFonts w:ascii="Times New Roman"/>
          <w:b w:val="false"/>
          <w:i w:val="false"/>
          <w:color w:val="000000"/>
          <w:sz w:val="28"/>
        </w:rPr>
        <w:t>
      4) приемка и ввод в эксплуатацию построенного объекта.</w:t>
      </w:r>
    </w:p>
    <w:bookmarkEnd w:id="10"/>
    <w:bookmarkStart w:name="z18" w:id="11"/>
    <w:p>
      <w:pPr>
        <w:spacing w:after="0"/>
        <w:ind w:left="0"/>
        <w:jc w:val="both"/>
      </w:pPr>
      <w:r>
        <w:rPr>
          <w:rFonts w:ascii="Times New Roman"/>
          <w:b w:val="false"/>
          <w:i w:val="false"/>
          <w:color w:val="000000"/>
          <w:sz w:val="28"/>
        </w:rPr>
        <w:t>
      Реконструкция (перепланировка, переоборудование) помещений (отдельных частей) существующих зданий и сооружений, не связанных с изменением несущих и ограждающих (наружных) конструкций, инженерных систем и оборудования (в рамках одного функционального назначения) осуществляется на основании технического проекта, разработанного в соответствии с требованиями государственных нормативов в области архитектуры, градостроительства и строительства и выполненного лицами, имеющими лицензию. Получение решения МИО, проектирование и экспертиза проекта не требуется. При вводе в эксплуатацию объекта технический проект прилагается к акту приемки объекта в эксплуатацию собственником самостоятельно.";</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"28. АПЗ и технические условия действуют в течение всего срока нормативной продолжительности строительства, утвержденного в составе проектной (проектно-сметной) документации.</w:t>
      </w:r>
    </w:p>
    <w:bookmarkEnd w:id="12"/>
    <w:bookmarkStart w:name="z21" w:id="13"/>
    <w:p>
      <w:pPr>
        <w:spacing w:after="0"/>
        <w:ind w:left="0"/>
        <w:jc w:val="both"/>
      </w:pPr>
      <w:r>
        <w:rPr>
          <w:rFonts w:ascii="Times New Roman"/>
          <w:b w:val="false"/>
          <w:i w:val="false"/>
          <w:color w:val="000000"/>
          <w:sz w:val="28"/>
        </w:rPr>
        <w:t>
      В случае превышения нормативной продолжительности строительства более трех лет срок действия АПЗ и технических условий продлевается на период строительства при условии представления подтверждающих документов о начале строительства.</w:t>
      </w:r>
    </w:p>
    <w:bookmarkEnd w:id="13"/>
    <w:bookmarkStart w:name="z22" w:id="14"/>
    <w:p>
      <w:pPr>
        <w:spacing w:after="0"/>
        <w:ind w:left="0"/>
        <w:jc w:val="both"/>
      </w:pPr>
      <w:r>
        <w:rPr>
          <w:rFonts w:ascii="Times New Roman"/>
          <w:b w:val="false"/>
          <w:i w:val="false"/>
          <w:color w:val="000000"/>
          <w:sz w:val="28"/>
        </w:rPr>
        <w:t>
      В случае непредставления подтверждающих документов о начале строительства АПЗ и технические условия по истечении трех лет с даты выдачи считаются недействительными.</w:t>
      </w:r>
    </w:p>
    <w:bookmarkEnd w:id="14"/>
    <w:bookmarkStart w:name="z23" w:id="15"/>
    <w:p>
      <w:pPr>
        <w:spacing w:after="0"/>
        <w:ind w:left="0"/>
        <w:jc w:val="both"/>
      </w:pPr>
      <w:r>
        <w:rPr>
          <w:rFonts w:ascii="Times New Roman"/>
          <w:b w:val="false"/>
          <w:i w:val="false"/>
          <w:color w:val="000000"/>
          <w:sz w:val="28"/>
        </w:rPr>
        <w:t xml:space="preserve">
      Подтверждающими документами о начале строительства для объектов первого и второго уровня ответственности являются талон о приеме уведомления о начале строительно-монтажных работ и отчеты технического надзора, формируемые в соответствии с Правилами оказания инжиниринговых услуг в сфере архитектурной, градостроительной и строительной деятельности,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 февраля 2015 года № 71 "Об утверждении Правил оказания инжиниринговых услуг в сфере архитектурной, градостроительной и строительной деятельности" (зарегистрирован в Реестре государственной регистрации нормативных правовых актов за № 10401).</w:t>
      </w:r>
    </w:p>
    <w:bookmarkEnd w:id="15"/>
    <w:bookmarkStart w:name="z24" w:id="16"/>
    <w:p>
      <w:pPr>
        <w:spacing w:after="0"/>
        <w:ind w:left="0"/>
        <w:jc w:val="both"/>
      </w:pPr>
      <w:r>
        <w:rPr>
          <w:rFonts w:ascii="Times New Roman"/>
          <w:b w:val="false"/>
          <w:i w:val="false"/>
          <w:color w:val="000000"/>
          <w:sz w:val="28"/>
        </w:rPr>
        <w:t>
      Решение МИО на реконструкцию (перепланировку, переоборудование) действует до введения объекта в эксплуатацию.";</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xml:space="preserve">
      "35. Для получения государственной услуги 1 заявитель посредством веб-портала "электронного правительства" (далее – портал) направляет услугодателю заявление о предоставлении исходных материалов на новое строительство /архитектурно-планировочного задания и технических условий/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(далее –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w:t>
      </w:r>
    </w:p>
    <w:bookmarkEnd w:id="17"/>
    <w:bookmarkStart w:name="z27" w:id="18"/>
    <w:p>
      <w:pPr>
        <w:spacing w:after="0"/>
        <w:ind w:left="0"/>
        <w:jc w:val="both"/>
      </w:pPr>
      <w:r>
        <w:rPr>
          <w:rFonts w:ascii="Times New Roman"/>
          <w:b w:val="false"/>
          <w:i w:val="false"/>
          <w:color w:val="000000"/>
          <w:sz w:val="28"/>
        </w:rPr>
        <w:t>
      для получения исходных материалов на новое строительство (далее – пакет 1) и АПЗ и технических условий (далее – пакет 2):</w:t>
      </w:r>
    </w:p>
    <w:bookmarkEnd w:id="18"/>
    <w:bookmarkStart w:name="z28" w:id="19"/>
    <w:p>
      <w:pPr>
        <w:spacing w:after="0"/>
        <w:ind w:left="0"/>
        <w:jc w:val="both"/>
      </w:pPr>
      <w:r>
        <w:rPr>
          <w:rFonts w:ascii="Times New Roman"/>
          <w:b w:val="false"/>
          <w:i w:val="false"/>
          <w:color w:val="000000"/>
          <w:sz w:val="28"/>
        </w:rPr>
        <w:t>
      1) электронной копии правоустанавливающего документа на земельный участок (в случае отсутствия регистрации в информационной системе "Единый государственный кадастр недвижимости");</w:t>
      </w:r>
    </w:p>
    <w:bookmarkEnd w:id="19"/>
    <w:bookmarkStart w:name="z29" w:id="20"/>
    <w:p>
      <w:pPr>
        <w:spacing w:after="0"/>
        <w:ind w:left="0"/>
        <w:jc w:val="both"/>
      </w:pPr>
      <w:r>
        <w:rPr>
          <w:rFonts w:ascii="Times New Roman"/>
          <w:b w:val="false"/>
          <w:i w:val="false"/>
          <w:color w:val="000000"/>
          <w:sz w:val="28"/>
        </w:rPr>
        <w:t xml:space="preserve">
      2) электронной копии опросного листа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случае необходимости получения технических условий);</w:t>
      </w:r>
    </w:p>
    <w:bookmarkEnd w:id="20"/>
    <w:bookmarkStart w:name="z30" w:id="21"/>
    <w:p>
      <w:pPr>
        <w:spacing w:after="0"/>
        <w:ind w:left="0"/>
        <w:jc w:val="both"/>
      </w:pPr>
      <w:r>
        <w:rPr>
          <w:rFonts w:ascii="Times New Roman"/>
          <w:b w:val="false"/>
          <w:i w:val="false"/>
          <w:color w:val="000000"/>
          <w:sz w:val="28"/>
        </w:rPr>
        <w:t>
      для получения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(далее – пакет 3):</w:t>
      </w:r>
    </w:p>
    <w:bookmarkEnd w:id="21"/>
    <w:bookmarkStart w:name="z31" w:id="22"/>
    <w:p>
      <w:pPr>
        <w:spacing w:after="0"/>
        <w:ind w:left="0"/>
        <w:jc w:val="both"/>
      </w:pPr>
      <w:r>
        <w:rPr>
          <w:rFonts w:ascii="Times New Roman"/>
          <w:b w:val="false"/>
          <w:i w:val="false"/>
          <w:color w:val="000000"/>
          <w:sz w:val="28"/>
        </w:rPr>
        <w:t xml:space="preserve">
      1) электронной копии письменного согласия не менее двух третей от общего числа собственников квартир, нежилых помещений жилого дома или протокол собственников квартир, нежилых помещений жилого дома в случаях, если изменения затрагивают общее имущество объекта кондоминиума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22"/>
    <w:bookmarkStart w:name="z32" w:id="23"/>
    <w:p>
      <w:pPr>
        <w:spacing w:after="0"/>
        <w:ind w:left="0"/>
        <w:jc w:val="both"/>
      </w:pPr>
      <w:r>
        <w:rPr>
          <w:rFonts w:ascii="Times New Roman"/>
          <w:b w:val="false"/>
          <w:i w:val="false"/>
          <w:color w:val="000000"/>
          <w:sz w:val="28"/>
        </w:rPr>
        <w:t>
      2) электронной копии технического паспорта изменяемого помещения (при его наличии);</w:t>
      </w:r>
    </w:p>
    <w:bookmarkEnd w:id="23"/>
    <w:bookmarkStart w:name="z33" w:id="24"/>
    <w:p>
      <w:pPr>
        <w:spacing w:after="0"/>
        <w:ind w:left="0"/>
        <w:jc w:val="both"/>
      </w:pPr>
      <w:r>
        <w:rPr>
          <w:rFonts w:ascii="Times New Roman"/>
          <w:b w:val="false"/>
          <w:i w:val="false"/>
          <w:color w:val="000000"/>
          <w:sz w:val="28"/>
        </w:rPr>
        <w:t>
      3) электронной копии опросного листа (при необходимости в дополнительном подключении к источникам инженерного и коммунального обеспечения и/или увеличении нагрузок);</w:t>
      </w:r>
    </w:p>
    <w:bookmarkEnd w:id="24"/>
    <w:bookmarkStart w:name="z34" w:id="25"/>
    <w:p>
      <w:pPr>
        <w:spacing w:after="0"/>
        <w:ind w:left="0"/>
        <w:jc w:val="both"/>
      </w:pPr>
      <w:r>
        <w:rPr>
          <w:rFonts w:ascii="Times New Roman"/>
          <w:b w:val="false"/>
          <w:i w:val="false"/>
          <w:color w:val="000000"/>
          <w:sz w:val="28"/>
        </w:rPr>
        <w:t>
      4) электронной копии правоустанавливающего документа на земельный участок (если реконструкция предусматривает дополнительный отвод (прирезку) земельного участка) (в случае отсутствия регистрации в информационной системе "Единый государственный кадастр недвижимости");</w:t>
      </w:r>
    </w:p>
    <w:bookmarkEnd w:id="25"/>
    <w:bookmarkStart w:name="z80" w:id="26"/>
    <w:p>
      <w:pPr>
        <w:spacing w:after="0"/>
        <w:ind w:left="0"/>
        <w:jc w:val="both"/>
      </w:pPr>
      <w:r>
        <w:rPr>
          <w:rFonts w:ascii="Times New Roman"/>
          <w:b w:val="false"/>
          <w:i w:val="false"/>
          <w:color w:val="000000"/>
          <w:sz w:val="28"/>
        </w:rPr>
        <w:t xml:space="preserve">
      5) электронной копии технического проекта (состав и содержание изложены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26"/>
    <w:bookmarkStart w:name="z35" w:id="27"/>
    <w:p>
      <w:pPr>
        <w:spacing w:after="0"/>
        <w:ind w:left="0"/>
        <w:jc w:val="both"/>
      </w:pPr>
      <w:r>
        <w:rPr>
          <w:rFonts w:ascii="Times New Roman"/>
          <w:b w:val="false"/>
          <w:i w:val="false"/>
          <w:color w:val="000000"/>
          <w:sz w:val="28"/>
        </w:rPr>
        <w:t>
      6) в случаях если в техническом проекте проектировщиком указано, что планируемые реконструкция (перепланировка, переоборудование) помещений (частей жилого дома) или перенос границ помещений затрагивают интересы собственников смежных помещений (частей дома) дополнительно прилагается электронная копия нотариально засвидетельствованного письменного согласия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bookmarkEnd w:id="27"/>
    <w:bookmarkStart w:name="z36" w:id="28"/>
    <w:p>
      <w:pPr>
        <w:spacing w:after="0"/>
        <w:ind w:left="0"/>
        <w:jc w:val="both"/>
      </w:pPr>
      <w:r>
        <w:rPr>
          <w:rFonts w:ascii="Times New Roman"/>
          <w:b w:val="false"/>
          <w:i w:val="false"/>
          <w:color w:val="000000"/>
          <w:sz w:val="28"/>
        </w:rPr>
        <w:t>
      Интересы собственников других помещений (частей дома), смежных с изменяемыми помещениями (частями дома), учитываются в случае, если планируемые реконструкции (перепланировка, переоборудование) помещений (частей жилого дома) или перенос границ помещений затрагивают совместную границу с изменяемым помещением (частью жилого дома), а также в случаях ухудшения санитарных, экологических, противопожарных условий проживания. Отказ собственников других помещений (частей дома), смежных с изменяемыми помещениями (частями дома) в иных случаях не допускается.</w:t>
      </w:r>
    </w:p>
    <w:bookmarkEnd w:id="28"/>
    <w:bookmarkStart w:name="z37" w:id="29"/>
    <w:p>
      <w:pPr>
        <w:spacing w:after="0"/>
        <w:ind w:left="0"/>
        <w:jc w:val="both"/>
      </w:pPr>
      <w:r>
        <w:rPr>
          <w:rFonts w:ascii="Times New Roman"/>
          <w:b w:val="false"/>
          <w:i w:val="false"/>
          <w:color w:val="000000"/>
          <w:sz w:val="28"/>
        </w:rPr>
        <w:t>
      Истребование документов, не предусмотренных настоящим пунктом, не допускается.</w:t>
      </w:r>
    </w:p>
    <w:bookmarkEnd w:id="29"/>
    <w:bookmarkStart w:name="z38" w:id="30"/>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справка о зарегистрированных правах (обременениях) на недвижимое имущество и его технических характеристиках, услугодатель получает из соответствующих государственных информационных систем через шлюз "электронного правительства".</w:t>
      </w:r>
    </w:p>
    <w:bookmarkEnd w:id="30"/>
    <w:bookmarkStart w:name="z39" w:id="3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1,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1 изложены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41" w:id="32"/>
    <w:p>
      <w:pPr>
        <w:spacing w:after="0"/>
        <w:ind w:left="0"/>
        <w:jc w:val="both"/>
      </w:pPr>
      <w:r>
        <w:rPr>
          <w:rFonts w:ascii="Times New Roman"/>
          <w:b w:val="false"/>
          <w:i w:val="false"/>
          <w:color w:val="000000"/>
          <w:sz w:val="28"/>
        </w:rPr>
        <w:t>
      "41. Услугодатель отказывает в оказании государственной услуги 1 по следующим основаниям:</w:t>
      </w:r>
    </w:p>
    <w:bookmarkEnd w:id="32"/>
    <w:bookmarkStart w:name="z42" w:id="33"/>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получения государственной услуги 1 и (или) данных (сведений), содержащихся в них;</w:t>
      </w:r>
    </w:p>
    <w:bookmarkEnd w:id="33"/>
    <w:bookmarkStart w:name="z43" w:id="34"/>
    <w:p>
      <w:pPr>
        <w:spacing w:after="0"/>
        <w:ind w:left="0"/>
        <w:jc w:val="both"/>
      </w:pPr>
      <w:r>
        <w:rPr>
          <w:rFonts w:ascii="Times New Roman"/>
          <w:b w:val="false"/>
          <w:i w:val="false"/>
          <w:color w:val="000000"/>
          <w:sz w:val="28"/>
        </w:rPr>
        <w:t>
      2) несоответствие заявителя и (или) представленных материалов, объектов, данных и сведений, необходимых для оказания государственной услуги 1, требованиям, установленным настоящими Правилами;</w:t>
      </w:r>
    </w:p>
    <w:bookmarkEnd w:id="34"/>
    <w:bookmarkStart w:name="z44" w:id="35"/>
    <w:p>
      <w:pPr>
        <w:spacing w:after="0"/>
        <w:ind w:left="0"/>
        <w:jc w:val="both"/>
      </w:pPr>
      <w:r>
        <w:rPr>
          <w:rFonts w:ascii="Times New Roman"/>
          <w:b w:val="false"/>
          <w:i w:val="false"/>
          <w:color w:val="000000"/>
          <w:sz w:val="28"/>
        </w:rPr>
        <w:t>
      3) отсутствие утвержденного генерального плана, проекта детальной планировки или схемы развития и застройки населенных пунктов (кроме реконструкции (перепланировке, переоборудованию) помещений (отдельных частей) существующих зданий и сооружений);</w:t>
      </w:r>
    </w:p>
    <w:bookmarkEnd w:id="35"/>
    <w:bookmarkStart w:name="z45" w:id="36"/>
    <w:p>
      <w:pPr>
        <w:spacing w:after="0"/>
        <w:ind w:left="0"/>
        <w:jc w:val="both"/>
      </w:pPr>
      <w:r>
        <w:rPr>
          <w:rFonts w:ascii="Times New Roman"/>
          <w:b w:val="false"/>
          <w:i w:val="false"/>
          <w:color w:val="000000"/>
          <w:sz w:val="28"/>
        </w:rPr>
        <w:t>
      4) несоответствие планируемого строительства утвержденному генеральному плану, проекту детальной планировки или схеме развития и застройки населенных пунктов;</w:t>
      </w:r>
    </w:p>
    <w:bookmarkEnd w:id="36"/>
    <w:bookmarkStart w:name="z46" w:id="37"/>
    <w:p>
      <w:pPr>
        <w:spacing w:after="0"/>
        <w:ind w:left="0"/>
        <w:jc w:val="both"/>
      </w:pPr>
      <w:r>
        <w:rPr>
          <w:rFonts w:ascii="Times New Roman"/>
          <w:b w:val="false"/>
          <w:i w:val="false"/>
          <w:color w:val="000000"/>
          <w:sz w:val="28"/>
        </w:rPr>
        <w:t>
      Настоящее основание для отказа не применимо в случае невозможности дальнейшей реализации прав заявителя по использованию земельного участка по целевому назначению, в том числе для реконструкции (перепланировке, переоборудовании), возникшей в результате утверждения нового или внесения изменений в утвержденный генеральный план, проект детальной планировки или схему развития и застройки населенных пунктов.</w:t>
      </w:r>
    </w:p>
    <w:bookmarkEnd w:id="37"/>
    <w:bookmarkStart w:name="z47" w:id="38"/>
    <w:p>
      <w:pPr>
        <w:spacing w:after="0"/>
        <w:ind w:left="0"/>
        <w:jc w:val="both"/>
      </w:pPr>
      <w:r>
        <w:rPr>
          <w:rFonts w:ascii="Times New Roman"/>
          <w:b w:val="false"/>
          <w:i w:val="false"/>
          <w:color w:val="000000"/>
          <w:sz w:val="28"/>
        </w:rPr>
        <w:t>
      5) отказ поставщиком услуг по инженерному и коммунальному обеспечению в выдаче технических условий при отсутствии свободной технической мощности, необходимой для предоставления требуемого объема услуг и (или) отсутствии сетей или иного имущества, необходимого для предоставления услуги;</w:t>
      </w:r>
    </w:p>
    <w:bookmarkEnd w:id="38"/>
    <w:bookmarkStart w:name="z48" w:id="39"/>
    <w:p>
      <w:pPr>
        <w:spacing w:after="0"/>
        <w:ind w:left="0"/>
        <w:jc w:val="both"/>
      </w:pPr>
      <w:r>
        <w:rPr>
          <w:rFonts w:ascii="Times New Roman"/>
          <w:b w:val="false"/>
          <w:i w:val="false"/>
          <w:color w:val="000000"/>
          <w:sz w:val="28"/>
        </w:rPr>
        <w:t xml:space="preserve">
      6) нарушения норм и требований (условий, правил, ограничений), установленных </w:t>
      </w:r>
      <w:r>
        <w:rPr>
          <w:rFonts w:ascii="Times New Roman"/>
          <w:b w:val="false"/>
          <w:i w:val="false"/>
          <w:color w:val="000000"/>
          <w:sz w:val="28"/>
        </w:rPr>
        <w:t>статьей 17</w:t>
      </w:r>
      <w:r>
        <w:rPr>
          <w:rFonts w:ascii="Times New Roman"/>
          <w:b w:val="false"/>
          <w:i w:val="false"/>
          <w:color w:val="000000"/>
          <w:sz w:val="28"/>
        </w:rPr>
        <w:t xml:space="preserve"> Закона;</w:t>
      </w:r>
    </w:p>
    <w:bookmarkEnd w:id="39"/>
    <w:bookmarkStart w:name="z49" w:id="40"/>
    <w:p>
      <w:pPr>
        <w:spacing w:after="0"/>
        <w:ind w:left="0"/>
        <w:jc w:val="both"/>
      </w:pPr>
      <w:r>
        <w:rPr>
          <w:rFonts w:ascii="Times New Roman"/>
          <w:b w:val="false"/>
          <w:i w:val="false"/>
          <w:color w:val="000000"/>
          <w:sz w:val="28"/>
        </w:rPr>
        <w:t xml:space="preserve">
      7) технический проект, выполненный лицами, имеющими лицензии, не соответствует составу и содержанию, изложенному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не предусматривает комплекс требований к назначению помещений (отдельных частей) существующих зданий и сооружений, а также требований государственных нормативов в области архитектуры, градостроительства и строительства.</w:t>
      </w:r>
    </w:p>
    <w:bookmarkEnd w:id="40"/>
    <w:bookmarkStart w:name="z50" w:id="41"/>
    <w:p>
      <w:pPr>
        <w:spacing w:after="0"/>
        <w:ind w:left="0"/>
        <w:jc w:val="both"/>
      </w:pPr>
      <w:r>
        <w:rPr>
          <w:rFonts w:ascii="Times New Roman"/>
          <w:b w:val="false"/>
          <w:i w:val="false"/>
          <w:color w:val="000000"/>
          <w:sz w:val="28"/>
        </w:rPr>
        <w:t>
      Заявителю выдается мотивированный отказ с указанием причин и конкретными замечаниями для устранения.</w:t>
      </w:r>
    </w:p>
    <w:bookmarkEnd w:id="41"/>
    <w:bookmarkStart w:name="z51" w:id="42"/>
    <w:p>
      <w:pPr>
        <w:spacing w:after="0"/>
        <w:ind w:left="0"/>
        <w:jc w:val="both"/>
      </w:pPr>
      <w:r>
        <w:rPr>
          <w:rFonts w:ascii="Times New Roman"/>
          <w:b w:val="false"/>
          <w:i w:val="false"/>
          <w:color w:val="000000"/>
          <w:sz w:val="28"/>
        </w:rPr>
        <w:t>
      Для получения государственной услуги 1 заявитель повторно обращается в порядке, установленном законодательством Республики Казахстан, в случае устранения причин отказа в оказании государственной услуги 1.</w:t>
      </w:r>
    </w:p>
    <w:bookmarkEnd w:id="42"/>
    <w:bookmarkStart w:name="z52" w:id="43"/>
    <w:p>
      <w:pPr>
        <w:spacing w:after="0"/>
        <w:ind w:left="0"/>
        <w:jc w:val="both"/>
      </w:pPr>
      <w:r>
        <w:rPr>
          <w:rFonts w:ascii="Times New Roman"/>
          <w:b w:val="false"/>
          <w:i w:val="false"/>
          <w:color w:val="000000"/>
          <w:sz w:val="28"/>
        </w:rPr>
        <w:t>
      Последующий отказ не может быть дан по основаниям, которые могли, но не были указаны ранее.";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54" w:id="44"/>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44"/>
    <w:bookmarkStart w:name="z55" w:id="4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5"/>
    <w:bookmarkStart w:name="z56" w:id="46"/>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46"/>
    <w:bookmarkStart w:name="z57" w:id="4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47"/>
    <w:bookmarkStart w:name="z58" w:id="48"/>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bookmarkStart w:name="z60" w:id="49"/>
      <w:r>
        <w:rPr>
          <w:rFonts w:ascii="Times New Roman"/>
          <w:b w:val="false"/>
          <w:i w:val="false"/>
          <w:color w:val="000000"/>
          <w:sz w:val="28"/>
        </w:rPr>
        <w:t>
      "СОГЛАСОВАН"</w:t>
      </w:r>
    </w:p>
    <w:bookmarkEnd w:id="4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промышленности 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июня 2024 года № 228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"Предоставление исходных материалов при разработке проектов строительства и реконструкции (перепланировки и переоборудования)"</w:t>
            </w:r>
          </w:p>
          <w:p>
            <w:pPr>
              <w:spacing w:after="20"/>
              <w:ind w:left="20"/>
              <w:jc w:val="both"/>
            </w:pPr>
            <w:r>
              <w:rPr>
                <w:rFonts w:ascii="Times New Roman"/>
                <w:b w:val="false"/>
                <w:i w:val="false"/>
                <w:color w:val="000000"/>
                <w:sz w:val="20"/>
              </w:rPr>
              <w:t>(далее – Перечень)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1. Предоставление исходных материалов на новое строительство;</w:t>
            </w:r>
          </w:p>
          <w:p>
            <w:pPr>
              <w:spacing w:after="20"/>
              <w:ind w:left="20"/>
              <w:jc w:val="both"/>
            </w:pPr>
            <w:r>
              <w:rPr>
                <w:rFonts w:ascii="Times New Roman"/>
                <w:b w:val="false"/>
                <w:i w:val="false"/>
                <w:color w:val="000000"/>
                <w:sz w:val="20"/>
              </w:rPr>
              <w:t>2. Предоставление архитектурно-планировочного задания и технических условий на подключение к источникам инженерного и коммунального обеспечения;</w:t>
            </w:r>
          </w:p>
          <w:p>
            <w:pPr>
              <w:spacing w:after="20"/>
              <w:ind w:left="20"/>
              <w:jc w:val="both"/>
            </w:pPr>
            <w:r>
              <w:rPr>
                <w:rFonts w:ascii="Times New Roman"/>
                <w:b w:val="false"/>
                <w:i w:val="false"/>
                <w:color w:val="000000"/>
                <w:sz w:val="20"/>
              </w:rPr>
              <w:t>3. Предоставление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Астана,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исходных материалов на новое строительство:</w:t>
            </w:r>
          </w:p>
          <w:p>
            <w:pPr>
              <w:spacing w:after="20"/>
              <w:ind w:left="20"/>
              <w:jc w:val="both"/>
            </w:pPr>
            <w:r>
              <w:rPr>
                <w:rFonts w:ascii="Times New Roman"/>
                <w:b w:val="false"/>
                <w:i w:val="false"/>
                <w:color w:val="000000"/>
                <w:sz w:val="20"/>
              </w:rPr>
              <w:t>по проектам строительства технически и (или) технологически несложных объектов – 15 (пятнадцать) рабочих дней;</w:t>
            </w:r>
          </w:p>
          <w:p>
            <w:pPr>
              <w:spacing w:after="20"/>
              <w:ind w:left="20"/>
              <w:jc w:val="both"/>
            </w:pPr>
            <w:r>
              <w:rPr>
                <w:rFonts w:ascii="Times New Roman"/>
                <w:b w:val="false"/>
                <w:i w:val="false"/>
                <w:color w:val="000000"/>
                <w:sz w:val="20"/>
              </w:rPr>
              <w:t>по проектам строительства технически и (или) технологически сложных объектов – 17 (семнадцать) рабочих дней;</w:t>
            </w:r>
          </w:p>
          <w:p>
            <w:pPr>
              <w:spacing w:after="20"/>
              <w:ind w:left="20"/>
              <w:jc w:val="both"/>
            </w:pPr>
            <w:r>
              <w:rPr>
                <w:rFonts w:ascii="Times New Roman"/>
                <w:b w:val="false"/>
                <w:i w:val="false"/>
                <w:color w:val="000000"/>
                <w:sz w:val="20"/>
              </w:rPr>
              <w:t>2) для получения архитектурно-планировочного задания (далее – АПЗ) и технических условий на подключение к источникам инженерного и коммунального обеспечения (далее – технические условия):</w:t>
            </w:r>
          </w:p>
          <w:p>
            <w:pPr>
              <w:spacing w:after="20"/>
              <w:ind w:left="20"/>
              <w:jc w:val="both"/>
            </w:pPr>
            <w:r>
              <w:rPr>
                <w:rFonts w:ascii="Times New Roman"/>
                <w:b w:val="false"/>
                <w:i w:val="false"/>
                <w:color w:val="000000"/>
                <w:sz w:val="20"/>
              </w:rPr>
              <w:t>по проектам строительства технически и (или) технологически несложных объектов – 9 (девять) рабочих дней;</w:t>
            </w:r>
          </w:p>
          <w:p>
            <w:pPr>
              <w:spacing w:after="20"/>
              <w:ind w:left="20"/>
              <w:jc w:val="both"/>
            </w:pPr>
            <w:r>
              <w:rPr>
                <w:rFonts w:ascii="Times New Roman"/>
                <w:b w:val="false"/>
                <w:i w:val="false"/>
                <w:color w:val="000000"/>
                <w:sz w:val="20"/>
              </w:rPr>
              <w:t>по проектам строительства технически и (или) технологически сложных объектов – 15 (пятнадцать) рабочих дней;</w:t>
            </w:r>
          </w:p>
          <w:p>
            <w:pPr>
              <w:spacing w:after="20"/>
              <w:ind w:left="20"/>
              <w:jc w:val="both"/>
            </w:pPr>
            <w:r>
              <w:rPr>
                <w:rFonts w:ascii="Times New Roman"/>
                <w:b w:val="false"/>
                <w:i w:val="false"/>
                <w:color w:val="000000"/>
                <w:sz w:val="20"/>
              </w:rPr>
              <w:t>3) для получения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 15 (пятнадцать) рабочих дней со дня подачи заявления. Мотивированный отказ –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получению исходных материалов на новое строительство (далее – пакет 1):</w:t>
            </w:r>
          </w:p>
          <w:p>
            <w:pPr>
              <w:spacing w:after="20"/>
              <w:ind w:left="20"/>
              <w:jc w:val="both"/>
            </w:pPr>
            <w:r>
              <w:rPr>
                <w:rFonts w:ascii="Times New Roman"/>
                <w:b w:val="false"/>
                <w:i w:val="false"/>
                <w:color w:val="000000"/>
                <w:sz w:val="20"/>
              </w:rPr>
              <w:t>электронные копии АПЗ, вертикальные планировочные отметки, выкопировка из проекта детальной планировки, поперечные профили дорог и улиц, технические условия, схемы трасс наружных инженерных сетей;</w:t>
            </w:r>
          </w:p>
          <w:p>
            <w:pPr>
              <w:spacing w:after="20"/>
              <w:ind w:left="20"/>
              <w:jc w:val="both"/>
            </w:pPr>
            <w:r>
              <w:rPr>
                <w:rFonts w:ascii="Times New Roman"/>
                <w:b w:val="false"/>
                <w:i w:val="false"/>
                <w:color w:val="000000"/>
                <w:sz w:val="20"/>
              </w:rPr>
              <w:t>2) по получению АПЗ и технических условий (далее – пакет 2):</w:t>
            </w:r>
          </w:p>
          <w:p>
            <w:pPr>
              <w:spacing w:after="20"/>
              <w:ind w:left="20"/>
              <w:jc w:val="both"/>
            </w:pPr>
            <w:r>
              <w:rPr>
                <w:rFonts w:ascii="Times New Roman"/>
                <w:b w:val="false"/>
                <w:i w:val="false"/>
                <w:color w:val="000000"/>
                <w:sz w:val="20"/>
              </w:rPr>
              <w:t>электронные копии АПЗ и технических условий;</w:t>
            </w:r>
          </w:p>
          <w:p>
            <w:pPr>
              <w:spacing w:after="20"/>
              <w:ind w:left="20"/>
              <w:jc w:val="both"/>
            </w:pPr>
            <w:r>
              <w:rPr>
                <w:rFonts w:ascii="Times New Roman"/>
                <w:b w:val="false"/>
                <w:i w:val="false"/>
                <w:color w:val="000000"/>
                <w:sz w:val="20"/>
              </w:rPr>
              <w:t>3) по получению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(далее - пакет 3):</w:t>
            </w:r>
          </w:p>
          <w:p>
            <w:pPr>
              <w:spacing w:after="20"/>
              <w:ind w:left="20"/>
              <w:jc w:val="both"/>
            </w:pPr>
            <w:r>
              <w:rPr>
                <w:rFonts w:ascii="Times New Roman"/>
                <w:b w:val="false"/>
                <w:i w:val="false"/>
                <w:color w:val="000000"/>
                <w:sz w:val="20"/>
              </w:rPr>
              <w:t>электронные копии решения МИО на реконструкцию (перепланировку, переоборудование)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АПЗ, технических условий (при подаче заявителем опросного листа), схем трасс наружных инженерных сетей (при подаче заявителем опросного листа);</w:t>
            </w:r>
          </w:p>
          <w:p>
            <w:pPr>
              <w:spacing w:after="20"/>
              <w:ind w:left="20"/>
              <w:jc w:val="both"/>
            </w:pPr>
            <w:r>
              <w:rPr>
                <w:rFonts w:ascii="Times New Roman"/>
                <w:b w:val="false"/>
                <w:i w:val="false"/>
                <w:color w:val="000000"/>
                <w:sz w:val="20"/>
              </w:rPr>
              <w:t>мотивированный ответ об отказе в оказании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за исключением выходных и праздничных дней, согласно трудовому законодательству Республики Казахстан с перерывом на обед;</w:t>
            </w:r>
          </w:p>
          <w:p>
            <w:pPr>
              <w:spacing w:after="20"/>
              <w:ind w:left="20"/>
              <w:jc w:val="both"/>
            </w:pPr>
            <w:r>
              <w:rPr>
                <w:rFonts w:ascii="Times New Roman"/>
                <w:b w:val="false"/>
                <w:i w:val="false"/>
                <w:color w:val="000000"/>
                <w:sz w:val="20"/>
              </w:rPr>
              <w:t>2) 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пакетам 1 и 2:</w:t>
            </w:r>
          </w:p>
          <w:p>
            <w:pPr>
              <w:spacing w:after="20"/>
              <w:ind w:left="20"/>
              <w:jc w:val="both"/>
            </w:pP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электронная копия правоустанавливающего документа на земельный участок (в случае отсутствия регистрации в государственной системе "Единый государственный кадастр недвижимости");</w:t>
            </w:r>
          </w:p>
          <w:p>
            <w:pPr>
              <w:spacing w:after="20"/>
              <w:ind w:left="20"/>
              <w:jc w:val="both"/>
            </w:pPr>
            <w:r>
              <w:rPr>
                <w:rFonts w:ascii="Times New Roman"/>
                <w:b w:val="false"/>
                <w:i w:val="false"/>
                <w:color w:val="000000"/>
                <w:sz w:val="20"/>
              </w:rPr>
              <w:t xml:space="preserve">электронная копия опросного листа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(при необходимости получения технических условий);</w:t>
            </w:r>
          </w:p>
          <w:p>
            <w:pPr>
              <w:spacing w:after="20"/>
              <w:ind w:left="20"/>
              <w:jc w:val="both"/>
            </w:pPr>
            <w:r>
              <w:rPr>
                <w:rFonts w:ascii="Times New Roman"/>
                <w:b w:val="false"/>
                <w:i w:val="false"/>
                <w:color w:val="000000"/>
                <w:sz w:val="20"/>
              </w:rPr>
              <w:t>2) по пакету 3:</w:t>
            </w:r>
          </w:p>
          <w:p>
            <w:pPr>
              <w:spacing w:after="20"/>
              <w:ind w:left="20"/>
              <w:jc w:val="both"/>
            </w:pP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xml:space="preserve">электронная копия письменного согласия не менее двух третей от общего числа собственников квартир, нежилых помещений жилого дома или протокол собственников квартир, нежилых помещений жилого дома в случаях, если изменения затрагивают общее имущество объекта кондоминиума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жилищных отношениях";</w:t>
            </w:r>
          </w:p>
          <w:p>
            <w:pPr>
              <w:spacing w:after="20"/>
              <w:ind w:left="20"/>
              <w:jc w:val="both"/>
            </w:pPr>
            <w:r>
              <w:rPr>
                <w:rFonts w:ascii="Times New Roman"/>
                <w:b w:val="false"/>
                <w:i w:val="false"/>
                <w:color w:val="000000"/>
                <w:sz w:val="20"/>
              </w:rPr>
              <w:t>электронная копия технического паспорта изменяемого помещения (при его наличии);</w:t>
            </w:r>
          </w:p>
          <w:p>
            <w:pPr>
              <w:spacing w:after="20"/>
              <w:ind w:left="20"/>
              <w:jc w:val="both"/>
            </w:pPr>
            <w:r>
              <w:rPr>
                <w:rFonts w:ascii="Times New Roman"/>
                <w:b w:val="false"/>
                <w:i w:val="false"/>
                <w:color w:val="000000"/>
                <w:sz w:val="20"/>
              </w:rPr>
              <w:t xml:space="preserve">электронная копия опросного листа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(при необходимости в дополнительном подключении к источникам инженерного и коммунального обеспечения и/или увеличении нагрузок);</w:t>
            </w:r>
          </w:p>
          <w:p>
            <w:pPr>
              <w:spacing w:after="20"/>
              <w:ind w:left="20"/>
              <w:jc w:val="both"/>
            </w:pPr>
            <w:r>
              <w:rPr>
                <w:rFonts w:ascii="Times New Roman"/>
                <w:b w:val="false"/>
                <w:i w:val="false"/>
                <w:color w:val="000000"/>
                <w:sz w:val="20"/>
              </w:rPr>
              <w:t>электронная копия правоустанавливающего документа на земельный участок (если реконструкция предусматривает дополнительный отвод (прирезку) земельного участка) (в случае отсутствия регистрации в государственной системе "Единый государственный кадастр недвижимости");</w:t>
            </w:r>
          </w:p>
          <w:p>
            <w:pPr>
              <w:spacing w:after="20"/>
              <w:ind w:left="20"/>
              <w:jc w:val="both"/>
            </w:pPr>
            <w:r>
              <w:rPr>
                <w:rFonts w:ascii="Times New Roman"/>
                <w:b w:val="false"/>
                <w:i w:val="false"/>
                <w:color w:val="000000"/>
                <w:sz w:val="20"/>
              </w:rPr>
              <w:t>электронная копия технического проекта;</w:t>
            </w:r>
          </w:p>
          <w:p>
            <w:pPr>
              <w:spacing w:after="20"/>
              <w:ind w:left="20"/>
              <w:jc w:val="both"/>
            </w:pPr>
            <w:r>
              <w:rPr>
                <w:rFonts w:ascii="Times New Roman"/>
                <w:b w:val="false"/>
                <w:i w:val="false"/>
                <w:color w:val="000000"/>
                <w:sz w:val="20"/>
              </w:rPr>
              <w:t>в случаях если в техническом проекте проектировщиком указано, что планируемые реконструкция (перепланировка, переоборудование) помещений (частей жилого дома) или перенос границ помещений затрагивают интересы собственников смежных помещений (частей дома) дополнительно прилагается электронная копия нотариально засвидетельствованного письменного согласия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p>
            <w:pPr>
              <w:spacing w:after="20"/>
              <w:ind w:left="20"/>
              <w:jc w:val="both"/>
            </w:pPr>
            <w:r>
              <w:rPr>
                <w:rFonts w:ascii="Times New Roman"/>
                <w:b w:val="false"/>
                <w:i w:val="false"/>
                <w:color w:val="000000"/>
                <w:sz w:val="20"/>
              </w:rPr>
              <w:t>Интересы собственников других помещений (частей дома), смежных с изменяемыми помещениями (частями дома), учитываются в случае, если планируемые реконструкции (перепланировка, переоборудование) помещений (частей жилого дома) или перенос границ помещений затрагивают совместную границу с изменяемым помещением (частью жилого дома), а также в случаях ухудшения санитарных, экологических, противопожарных условий проживания. Отказ собственников других помещений (частей дома), смежных с изменяемыми помещениями (частями дома) в иных случаях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"Утверждаю"</w:t>
            </w:r>
            <w:r>
              <w:br/>
            </w:r>
            <w:r>
              <w:rPr>
                <w:rFonts w:ascii="Times New Roman"/>
                <w:b w:val="false"/>
                <w:i w:val="false"/>
                <w:color w:val="000000"/>
                <w:sz w:val="20"/>
              </w:rPr>
              <w:t>(қаланың, ауданның)</w:t>
            </w:r>
            <w:r>
              <w:br/>
            </w:r>
            <w:r>
              <w:rPr>
                <w:rFonts w:ascii="Times New Roman"/>
                <w:b w:val="false"/>
                <w:i w:val="false"/>
                <w:color w:val="000000"/>
                <w:sz w:val="20"/>
              </w:rPr>
              <w:t>бас сәулетшісі</w:t>
            </w:r>
            <w:r>
              <w:br/>
            </w:r>
            <w:r>
              <w:rPr>
                <w:rFonts w:ascii="Times New Roman"/>
                <w:b w:val="false"/>
                <w:i w:val="false"/>
                <w:color w:val="000000"/>
                <w:sz w:val="20"/>
              </w:rPr>
              <w:t>Главный архитектор</w:t>
            </w:r>
            <w:r>
              <w:br/>
            </w:r>
            <w:r>
              <w:rPr>
                <w:rFonts w:ascii="Times New Roman"/>
                <w:b w:val="false"/>
                <w:i w:val="false"/>
                <w:color w:val="000000"/>
                <w:sz w:val="20"/>
              </w:rPr>
              <w:t>(города, района)</w:t>
            </w:r>
            <w:r>
              <w:br/>
            </w:r>
            <w:r>
              <w:rPr>
                <w:rFonts w:ascii="Times New Roman"/>
                <w:b w:val="false"/>
                <w:i w:val="false"/>
                <w:color w:val="000000"/>
                <w:sz w:val="20"/>
              </w:rPr>
              <w:t>____________________</w:t>
            </w:r>
            <w:r>
              <w:br/>
            </w:r>
            <w:r>
              <w:rPr>
                <w:rFonts w:ascii="Times New Roman"/>
                <w:b w:val="false"/>
                <w:i w:val="false"/>
                <w:color w:val="000000"/>
                <w:sz w:val="20"/>
              </w:rPr>
              <w:t>Тегі, аты, әкесініңаты</w:t>
            </w:r>
            <w:r>
              <w:br/>
            </w:r>
            <w:r>
              <w:rPr>
                <w:rFonts w:ascii="Times New Roman"/>
                <w:b w:val="false"/>
                <w:i w:val="false"/>
                <w:color w:val="000000"/>
                <w:sz w:val="20"/>
              </w:rPr>
              <w:t>(оның болған жағдайында)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67" w:id="50"/>
    <w:p>
      <w:pPr>
        <w:spacing w:after="0"/>
        <w:ind w:left="0"/>
        <w:jc w:val="left"/>
      </w:pPr>
      <w:r>
        <w:rPr>
          <w:rFonts w:ascii="Times New Roman"/>
          <w:b/>
          <w:i w:val="false"/>
          <w:color w:val="000000"/>
        </w:rPr>
        <w:t xml:space="preserve"> Жобалауға арналған сәулет-жоспарлау тапсырмасы (СЖТ)</w:t>
      </w:r>
      <w:r>
        <w:br/>
      </w:r>
      <w:r>
        <w:rPr>
          <w:rFonts w:ascii="Times New Roman"/>
          <w:b/>
          <w:i w:val="false"/>
          <w:color w:val="000000"/>
        </w:rPr>
        <w:t>Архитектурно – планировочное задание на проектирование (АПЗ)</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 от "__" ______ 20__ года</w:t>
            </w:r>
            <w:r>
              <w:br/>
            </w:r>
            <w:r>
              <w:rPr>
                <w:rFonts w:ascii="Times New Roman"/>
                <w:b w:val="false"/>
                <w:i w:val="false"/>
                <w:color w:val="000000"/>
                <w:sz w:val="20"/>
              </w:rPr>
              <w:t>№ __ 20__ жылғы "__" _______</w:t>
            </w:r>
          </w:p>
        </w:tc>
      </w:tr>
    </w:tbl>
    <w:p>
      <w:pPr>
        <w:spacing w:after="0"/>
        <w:ind w:left="0"/>
        <w:jc w:val="both"/>
      </w:pPr>
      <w:bookmarkStart w:name="z69" w:id="51"/>
      <w:r>
        <w:rPr>
          <w:rFonts w:ascii="Times New Roman"/>
          <w:b w:val="false"/>
          <w:i w:val="false"/>
          <w:color w:val="000000"/>
          <w:sz w:val="28"/>
        </w:rPr>
        <w:t>
      Объектінің бірегей нөмірі:</w:t>
      </w:r>
    </w:p>
    <w:bookmarkEnd w:id="51"/>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Уникальный номер объекта:</w:t>
      </w:r>
    </w:p>
    <w:p>
      <w:pPr>
        <w:spacing w:after="0"/>
        <w:ind w:left="0"/>
        <w:jc w:val="both"/>
      </w:pPr>
      <w:r>
        <w:rPr>
          <w:rFonts w:ascii="Times New Roman"/>
          <w:b w:val="false"/>
          <w:i w:val="false"/>
          <w:color w:val="000000"/>
          <w:sz w:val="28"/>
        </w:rPr>
        <w:t>Объектінің атауы: _______________________________________</w:t>
      </w:r>
    </w:p>
    <w:p>
      <w:pPr>
        <w:spacing w:after="0"/>
        <w:ind w:left="0"/>
        <w:jc w:val="both"/>
      </w:pPr>
      <w:r>
        <w:rPr>
          <w:rFonts w:ascii="Times New Roman"/>
          <w:b w:val="false"/>
          <w:i w:val="false"/>
          <w:color w:val="000000"/>
          <w:sz w:val="28"/>
        </w:rPr>
        <w:t>Наименование объекта:</w:t>
      </w:r>
    </w:p>
    <w:p>
      <w:pPr>
        <w:spacing w:after="0"/>
        <w:ind w:left="0"/>
        <w:jc w:val="both"/>
      </w:pPr>
      <w:r>
        <w:rPr>
          <w:rFonts w:ascii="Times New Roman"/>
          <w:b w:val="false"/>
          <w:i w:val="false"/>
          <w:color w:val="000000"/>
          <w:sz w:val="28"/>
        </w:rPr>
        <w:t>Объектінің мекенжайы ___________________________________</w:t>
      </w:r>
    </w:p>
    <w:p>
      <w:pPr>
        <w:spacing w:after="0"/>
        <w:ind w:left="0"/>
        <w:jc w:val="both"/>
      </w:pPr>
      <w:r>
        <w:rPr>
          <w:rFonts w:ascii="Times New Roman"/>
          <w:b w:val="false"/>
          <w:i w:val="false"/>
          <w:color w:val="000000"/>
          <w:sz w:val="28"/>
        </w:rPr>
        <w:t>Адрес объекта</w:t>
      </w:r>
    </w:p>
    <w:p>
      <w:pPr>
        <w:spacing w:after="0"/>
        <w:ind w:left="0"/>
        <w:jc w:val="both"/>
      </w:pPr>
      <w:r>
        <w:rPr>
          <w:rFonts w:ascii="Times New Roman"/>
          <w:b w:val="false"/>
          <w:i w:val="false"/>
          <w:color w:val="000000"/>
          <w:sz w:val="28"/>
        </w:rPr>
        <w:t>Қала (елді мекен), жыл ___________________________________</w:t>
      </w:r>
    </w:p>
    <w:p>
      <w:pPr>
        <w:spacing w:after="0"/>
        <w:ind w:left="0"/>
        <w:jc w:val="both"/>
      </w:pPr>
      <w:r>
        <w:rPr>
          <w:rFonts w:ascii="Times New Roman"/>
          <w:b w:val="false"/>
          <w:i w:val="false"/>
          <w:color w:val="000000"/>
          <w:sz w:val="28"/>
        </w:rPr>
        <w:t>Населенный пункт,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(СЖТ) әзірлеу үшін негіздеме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әкімдігінің қаулысы немесе құқық белгілейтін құжат №_______ _________ (күні, айы, жылы)</w:t>
            </w:r>
          </w:p>
          <w:p>
            <w:pPr>
              <w:spacing w:after="20"/>
              <w:ind w:left="20"/>
              <w:jc w:val="both"/>
            </w:pPr>
            <w:r>
              <w:rPr>
                <w:rFonts w:ascii="Times New Roman"/>
                <w:b w:val="false"/>
                <w:i w:val="false"/>
                <w:color w:val="000000"/>
                <w:sz w:val="20"/>
              </w:rPr>
              <w:t>Постановление акимата города (района) или правоустанавливающий документ №_______ от_________ (число, месяц,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шағын аудан, ауыл, 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микрорайон, аул, квартал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зерделенуі (түсірілімдердің болуы, олардың масштабтары)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изученность (наличие съемок, их масштабы)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объектінің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проектируемого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значение объекта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Планировочная система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 учетом функционального назначения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Көлемдік-кеңістіктік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іргелес объектілермен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со смежными по участку объектами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Объемно-пространственное решение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 жобасы: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Жанасатын көшелердің тік жоспарлау белгілерінің, егжей-тегжейлі жоспарлау жобасына,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генерального плана: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проектом детальной планировки, вертикальными планировочными отметками прилегающих улиц, требованиями строительных нормативных документов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планировка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 высотными отметками прилегающей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тұрағы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 автомобилей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 қабатын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плодородного слоя почвы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келбетінің стилистикасы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Стилистика архитектурного образа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Қоршап тұрған құрылыс салумен өзара үйлесімдік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сочетания с окружающей застройкой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Түсіне қатысты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согласованному эскизному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шешім, оның ішінде: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туралы" Қазақстан Республикасының Заңының 21-бабына сәйкес жарнамалық-ақпараттық қондырғыларды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Рекламно-информационное решение,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Предусмотреть рекламно-информационные установки согласно </w:t>
            </w:r>
            <w:r>
              <w:rPr>
                <w:rFonts w:ascii="Times New Roman"/>
                <w:b w:val="false"/>
                <w:i w:val="false"/>
                <w:color w:val="000000"/>
                <w:sz w:val="20"/>
              </w:rPr>
              <w:t>статье 21</w:t>
            </w:r>
            <w:r>
              <w:rPr>
                <w:rFonts w:ascii="Times New Roman"/>
                <w:b w:val="false"/>
                <w:i w:val="false"/>
                <w:color w:val="000000"/>
                <w:sz w:val="20"/>
              </w:rPr>
              <w:t xml:space="preserve"> Закона Республики Казахстан "О языках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жарықпен безендіру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световое оформление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тораптарға назар аударуды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узлы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Предложить акцентирование входных узлов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мүмкіндігі шектеулі топтарының өмір сүруі үшін жағдай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Қазақстан Республикасы құрылыстық нормативтік құжаттарының нұсқаулары мен талаптарына сәйкес көздеу; мүгедектігі бар адамдардың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жизнедеятельности маломобильных групп населения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мероприятия в соответствии с указаниями и требованиями строительных нормативных документов Республики Казахстан; предусмотреть доступ лиц с инвалидностью к зданию, предусмотреть пандусы, специальные подъездные пути и устройства для проезда инвалидных колясок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Дыбыс-шу көрсеткіштері бойынша шарттарды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звукошумовым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требованиям строительных нормативных документов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наружной отделке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Ограждающие конструкции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инженерным сетям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 __и дата выдачи технических условий (далее -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және телерадиохабар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(ТШ №__ және берілген күні)</w:t>
            </w:r>
          </w:p>
          <w:p>
            <w:pPr>
              <w:spacing w:after="20"/>
              <w:ind w:left="20"/>
              <w:jc w:val="both"/>
            </w:pPr>
            <w:r>
              <w:rPr>
                <w:rFonts w:ascii="Times New Roman"/>
                <w:b w:val="false"/>
                <w:i w:val="false"/>
                <w:color w:val="000000"/>
                <w:sz w:val="20"/>
              </w:rPr>
              <w:t>және нормативтік құжаттардың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и телерадиовещания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 и требованиям нормативных документов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(қажет болған жағдайда) және нөсерлік кәріз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(при необходимости) и ливневая канализация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суғару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w:t>
            </w:r>
          </w:p>
          <w:p>
            <w:pPr>
              <w:spacing w:after="20"/>
              <w:ind w:left="20"/>
              <w:jc w:val="both"/>
            </w:pPr>
            <w:r>
              <w:rPr>
                <w:rFonts w:ascii="Times New Roman"/>
                <w:b w:val="false"/>
                <w:i w:val="false"/>
                <w:color w:val="000000"/>
                <w:sz w:val="20"/>
              </w:rPr>
              <w:t>(ТШ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поливочные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w:t>
            </w:r>
          </w:p>
          <w:p>
            <w:pPr>
              <w:spacing w:after="20"/>
              <w:ind w:left="20"/>
              <w:jc w:val="both"/>
            </w:pPr>
            <w:r>
              <w:rPr>
                <w:rFonts w:ascii="Times New Roman"/>
                <w:b w:val="false"/>
                <w:i w:val="false"/>
                <w:color w:val="000000"/>
                <w:sz w:val="20"/>
              </w:rPr>
              <w:t>(№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салушыға жүктелетін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возлагаемые на застройщика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іздестірулер бойынша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қазбалар мен инженерлік-геологиялық іздестірулерді байланыстыра отырып, жер учаскесінің шекараларын натураға (жерге) көшіруге байланысты инженерлік-геодезиялық жұмыстар жүргізілгеннен кейін жер учаскесін игеруге кірісуге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инженерным изысканиям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Приступать к освоению земельного участка разрешается после проведения инженерно-геодезических работ, связанных с переносом в натуру (на местность) границ земельного участка, с привязкой инженерно-геологических выработок и инженерно-геологических изысканий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құрылыстар мен имараттарды бұзу (көшіру) бойынша</w:t>
            </w:r>
          </w:p>
          <w:p>
            <w:pPr>
              <w:spacing w:after="20"/>
              <w:ind w:left="20"/>
              <w:jc w:val="both"/>
            </w:pPr>
            <w:r>
              <w:rPr>
                <w:rFonts w:ascii="Times New Roman"/>
                <w:b w:val="false"/>
                <w:i w:val="false"/>
                <w:color w:val="000000"/>
                <w:sz w:val="20"/>
              </w:rPr>
              <w:t>По сносу (переносу) существующих строений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 қысқаша сипаттамасы</w:t>
            </w:r>
          </w:p>
          <w:p>
            <w:pPr>
              <w:spacing w:after="20"/>
              <w:ind w:left="20"/>
              <w:jc w:val="both"/>
            </w:pPr>
            <w:r>
              <w:rPr>
                <w:rFonts w:ascii="Times New Roman"/>
                <w:b w:val="false"/>
                <w:i w:val="false"/>
                <w:color w:val="000000"/>
                <w:sz w:val="20"/>
              </w:rPr>
              <w:t>При необходимости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үсті коммуникацияларын ауыстыру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переносу существующих подземных и надземных инженерных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на перенос (вынос) либо на проведения мероприятия по защите сетей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көшеттерді сақтау және/немесе отырғызу бойынша</w:t>
            </w:r>
          </w:p>
          <w:p>
            <w:pPr>
              <w:spacing w:after="20"/>
              <w:ind w:left="20"/>
              <w:jc w:val="both"/>
            </w:pPr>
            <w:r>
              <w:rPr>
                <w:rFonts w:ascii="Times New Roman"/>
                <w:b w:val="false"/>
                <w:i w:val="false"/>
                <w:color w:val="000000"/>
                <w:sz w:val="20"/>
              </w:rPr>
              <w:t>По сохранению и/или пересадке зеленых насаждений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уақытша қоршау құрылысы бойынша</w:t>
            </w:r>
          </w:p>
          <w:p>
            <w:pPr>
              <w:spacing w:after="20"/>
              <w:ind w:left="20"/>
              <w:jc w:val="both"/>
            </w:pPr>
            <w:r>
              <w:rPr>
                <w:rFonts w:ascii="Times New Roman"/>
                <w:b w:val="false"/>
                <w:i w:val="false"/>
                <w:color w:val="000000"/>
                <w:sz w:val="20"/>
              </w:rPr>
              <w:t>По строительству временного ограждения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Ғимараттағы ауа баптау жүйесін жобалау кезінде (жобада орталықтандырылған суық сумен жабдықтау және ауа баптау қарастырылмағанда)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p>
          <w:p>
            <w:pPr>
              <w:spacing w:after="20"/>
              <w:ind w:left="20"/>
              <w:jc w:val="both"/>
            </w:pPr>
            <w:r>
              <w:rPr>
                <w:rFonts w:ascii="Times New Roman"/>
                <w:b w:val="false"/>
                <w:i w:val="false"/>
                <w:color w:val="000000"/>
                <w:sz w:val="20"/>
              </w:rPr>
              <w:t>2. Ресурс үнемдеу және қазіргі заманғы энергия үнемдеу технологиялары бойынша материалдарды қолдану.</w:t>
            </w:r>
          </w:p>
          <w:p>
            <w:pPr>
              <w:spacing w:after="20"/>
              <w:ind w:left="20"/>
              <w:jc w:val="both"/>
            </w:pPr>
            <w:r>
              <w:rPr>
                <w:rFonts w:ascii="Times New Roman"/>
                <w:b w:val="false"/>
                <w:i w:val="false"/>
                <w:color w:val="000000"/>
                <w:sz w:val="20"/>
              </w:rPr>
              <w:t>1. При проектировании системы кондиционирования в здании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w:t>
            </w:r>
          </w:p>
          <w:p>
            <w:pPr>
              <w:spacing w:after="20"/>
              <w:ind w:left="20"/>
              <w:jc w:val="both"/>
            </w:pPr>
            <w:r>
              <w:rPr>
                <w:rFonts w:ascii="Times New Roman"/>
                <w:b w:val="false"/>
                <w:i w:val="false"/>
                <w:color w:val="000000"/>
                <w:sz w:val="20"/>
              </w:rPr>
              <w:t>2. Применить материалы по ресурсосбережению и современных энергосберегающих технологий.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Қаланың (ауданның) бас сәулетшісімен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эскиздік жоба (жаңа құрылыс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жобасына сараптама жүргізу ("Қазақстан Республикасындағы сәулет, қала құрылысы және құрылыс қызметі туралы" Қазақстан Республикасы Занының 64-1-бабына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Құрылыс-монтаждау жұмыстарының басталғандығы туралы хабарлама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Салынған объектіні қабылдау және пайдалануға беру (қабылдау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Согласовать с главным архитектором города (района):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эскизный проект (при новом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Провести экспертизу проекта строительства (согласно </w:t>
            </w:r>
            <w:r>
              <w:rPr>
                <w:rFonts w:ascii="Times New Roman"/>
                <w:b w:val="false"/>
                <w:i w:val="false"/>
                <w:color w:val="000000"/>
                <w:sz w:val="20"/>
              </w:rPr>
              <w:t>статьи 64-1</w:t>
            </w:r>
            <w:r>
              <w:rPr>
                <w:rFonts w:ascii="Times New Roman"/>
                <w:b w:val="false"/>
                <w:i w:val="false"/>
                <w:color w:val="000000"/>
                <w:sz w:val="20"/>
              </w:rPr>
              <w:t xml:space="preserve"> Закона Республики Казахстан "Об архитектурной, градостроительной и строительной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Подать уведомление о начале строительно- 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Приемка и ввод в эксплуатацию построенного объекта (тип приемки).</w:t>
            </w:r>
          </w:p>
        </w:tc>
      </w:tr>
    </w:tbl>
    <w:bookmarkStart w:name="z70" w:id="52"/>
    <w:p>
      <w:pPr>
        <w:spacing w:after="0"/>
        <w:ind w:left="0"/>
        <w:jc w:val="both"/>
      </w:pPr>
      <w:r>
        <w:rPr>
          <w:rFonts w:ascii="Times New Roman"/>
          <w:b w:val="false"/>
          <w:i w:val="false"/>
          <w:color w:val="000000"/>
          <w:sz w:val="28"/>
        </w:rPr>
        <w:t>
      1. СЖТ және ТШ жобалау (жобалау-сметалық) құжаттаманың құрамында бекітілген құрылыстың бүкіл нормативтік ұзақтығының мерзімі шегінде қолданылады.</w:t>
      </w:r>
    </w:p>
    <w:bookmarkEnd w:id="52"/>
    <w:bookmarkStart w:name="z71" w:id="53"/>
    <w:p>
      <w:pPr>
        <w:spacing w:after="0"/>
        <w:ind w:left="0"/>
        <w:jc w:val="both"/>
      </w:pPr>
      <w:r>
        <w:rPr>
          <w:rFonts w:ascii="Times New Roman"/>
          <w:b w:val="false"/>
          <w:i w:val="false"/>
          <w:color w:val="000000"/>
          <w:sz w:val="28"/>
        </w:rPr>
        <w:t>
      Құрылыстың нормативтік ұзақтығы үш жылдан асқан жағдайда, техникалық шарттардың қолданылу мерзімі құрылыстың басталғаны туралы растаушы құжаттардың ұсынылу талабымен құрылыс кезеңіне ұзартылады.</w:t>
      </w:r>
    </w:p>
    <w:bookmarkEnd w:id="53"/>
    <w:bookmarkStart w:name="z72" w:id="54"/>
    <w:p>
      <w:pPr>
        <w:spacing w:after="0"/>
        <w:ind w:left="0"/>
        <w:jc w:val="both"/>
      </w:pPr>
      <w:r>
        <w:rPr>
          <w:rFonts w:ascii="Times New Roman"/>
          <w:b w:val="false"/>
          <w:i w:val="false"/>
          <w:color w:val="000000"/>
          <w:sz w:val="28"/>
        </w:rPr>
        <w:t>
      Құрылыстың басталғаны туралы растаушы құжаттар ұсынылмаған жағдайда, техникалық шарттар берілген күнінен бастап үш жыл өткен соң жарамсыз деп есептеледі.</w:t>
      </w:r>
    </w:p>
    <w:bookmarkEnd w:id="54"/>
    <w:bookmarkStart w:name="z73" w:id="55"/>
    <w:p>
      <w:pPr>
        <w:spacing w:after="0"/>
        <w:ind w:left="0"/>
        <w:jc w:val="both"/>
      </w:pPr>
      <w:r>
        <w:rPr>
          <w:rFonts w:ascii="Times New Roman"/>
          <w:b w:val="false"/>
          <w:i w:val="false"/>
          <w:color w:val="000000"/>
          <w:sz w:val="28"/>
        </w:rPr>
        <w:t>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bookmarkEnd w:id="55"/>
    <w:bookmarkStart w:name="z74" w:id="56"/>
    <w:p>
      <w:pPr>
        <w:spacing w:after="0"/>
        <w:ind w:left="0"/>
        <w:jc w:val="both"/>
      </w:pPr>
      <w:r>
        <w:rPr>
          <w:rFonts w:ascii="Times New Roman"/>
          <w:b w:val="false"/>
          <w:i w:val="false"/>
          <w:color w:val="000000"/>
          <w:sz w:val="28"/>
        </w:rPr>
        <w:t>
      В случае превышения нормативной продолжительности строительства более трех лет срок действия АПЗ и технических условий продлевается на период строительства при условии представления подтверждающих документов о начале строительства.</w:t>
      </w:r>
    </w:p>
    <w:bookmarkEnd w:id="56"/>
    <w:bookmarkStart w:name="z75" w:id="57"/>
    <w:p>
      <w:pPr>
        <w:spacing w:after="0"/>
        <w:ind w:left="0"/>
        <w:jc w:val="both"/>
      </w:pPr>
      <w:r>
        <w:rPr>
          <w:rFonts w:ascii="Times New Roman"/>
          <w:b w:val="false"/>
          <w:i w:val="false"/>
          <w:color w:val="000000"/>
          <w:sz w:val="28"/>
        </w:rPr>
        <w:t>
      В случае непредставления подтверждающих документов о начале строительства АПЗ и технические условия по истечении трех лет с даты выдачи считаются недействительными.</w:t>
      </w:r>
    </w:p>
    <w:bookmarkEnd w:id="57"/>
    <w:bookmarkStart w:name="z76" w:id="58"/>
    <w:p>
      <w:pPr>
        <w:spacing w:after="0"/>
        <w:ind w:left="0"/>
        <w:jc w:val="both"/>
      </w:pPr>
      <w:r>
        <w:rPr>
          <w:rFonts w:ascii="Times New Roman"/>
          <w:b w:val="false"/>
          <w:i w:val="false"/>
          <w:color w:val="000000"/>
          <w:sz w:val="28"/>
        </w:rPr>
        <w:t>
      2. СЖТ-да жазылған талаптар мен шарттар меншік нысанына және қаржыландыру көздеріне қарамастан инвестициялық процестің барлық қатысушылармен орындалады.</w:t>
      </w:r>
    </w:p>
    <w:bookmarkEnd w:id="58"/>
    <w:bookmarkStart w:name="z77" w:id="59"/>
    <w:p>
      <w:pPr>
        <w:spacing w:after="0"/>
        <w:ind w:left="0"/>
        <w:jc w:val="both"/>
      </w:pPr>
      <w:r>
        <w:rPr>
          <w:rFonts w:ascii="Times New Roman"/>
          <w:b w:val="false"/>
          <w:i w:val="false"/>
          <w:color w:val="000000"/>
          <w:sz w:val="28"/>
        </w:rPr>
        <w:t>
      Требования и условия, изложенные в АПЗ, выполняются всеми участниками инвестиционного процесса независимо от форм собственности и источников финансирования.</w:t>
      </w:r>
    </w:p>
    <w:bookmarkEnd w:id="59"/>
    <w:bookmarkStart w:name="z78" w:id="60"/>
    <w:p>
      <w:pPr>
        <w:spacing w:after="0"/>
        <w:ind w:left="0"/>
        <w:jc w:val="both"/>
      </w:pPr>
      <w:r>
        <w:rPr>
          <w:rFonts w:ascii="Times New Roman"/>
          <w:b w:val="false"/>
          <w:i w:val="false"/>
          <w:color w:val="000000"/>
          <w:sz w:val="28"/>
        </w:rPr>
        <w:t>
      3. Тапсырыс берушінің СЖТ-да қамтылған талаптармен келіспеуі сот тәртібімен шағымдалуы мүмкін.</w:t>
      </w:r>
    </w:p>
    <w:bookmarkEnd w:id="60"/>
    <w:bookmarkStart w:name="z79" w:id="61"/>
    <w:p>
      <w:pPr>
        <w:spacing w:after="0"/>
        <w:ind w:left="0"/>
        <w:jc w:val="both"/>
      </w:pPr>
      <w:r>
        <w:rPr>
          <w:rFonts w:ascii="Times New Roman"/>
          <w:b w:val="false"/>
          <w:i w:val="false"/>
          <w:color w:val="000000"/>
          <w:sz w:val="28"/>
        </w:rPr>
        <w:t>
      Несогласие заказчика с требованиями, содержащимися в АПЗ, обжалуется в судебном порядке.</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