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cc078" w14:textId="e2cc0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нормативные правовые акты Республики Казахстан по вопросам регулирования банковской деятельности</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24 июня 2024 года № 30. Зарегистрировано в Министерстве юстиции Республики Казахстан 26 июня 2024 года № 34582.</w:t>
      </w:r>
    </w:p>
    <w:p>
      <w:pPr>
        <w:spacing w:after="0"/>
        <w:ind w:left="0"/>
        <w:jc w:val="both"/>
      </w:pPr>
      <w:bookmarkStart w:name="z4" w:id="0"/>
      <w:r>
        <w:rPr>
          <w:rFonts w:ascii="Times New Roman"/>
          <w:b w:val="false"/>
          <w:i w:val="false"/>
          <w:color w:val="000000"/>
          <w:sz w:val="28"/>
        </w:rPr>
        <w:t>
      Правление Агентства Республики Казахстан по регулированию и развитию финансового рынка ПОСТАНОВЛЯЕТ:</w:t>
      </w:r>
    </w:p>
    <w:bookmarkEnd w:id="0"/>
    <w:bookmarkStart w:name="z5"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Перечень</w:t>
      </w:r>
      <w:r>
        <w:rPr>
          <w:rFonts w:ascii="Times New Roman"/>
          <w:b w:val="false"/>
          <w:i w:val="false"/>
          <w:color w:val="000000"/>
          <w:sz w:val="28"/>
        </w:rPr>
        <w:t xml:space="preserve"> нормативных правовых актов Республики Казахстан по вопросам регулирования банковской деятельности, в которые вносятся изменения, согласно приложению к настоящему постановлению.</w:t>
      </w:r>
    </w:p>
    <w:bookmarkEnd w:id="1"/>
    <w:bookmarkStart w:name="z6" w:id="2"/>
    <w:p>
      <w:pPr>
        <w:spacing w:after="0"/>
        <w:ind w:left="0"/>
        <w:jc w:val="both"/>
      </w:pPr>
      <w:r>
        <w:rPr>
          <w:rFonts w:ascii="Times New Roman"/>
          <w:b w:val="false"/>
          <w:i w:val="false"/>
          <w:color w:val="000000"/>
          <w:sz w:val="28"/>
        </w:rPr>
        <w:t>
      2. Департаменту методологии и пруденциального регулирования финансовых организаций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bookmarkEnd w:id="6"/>
    <w:bookmarkStart w:name="z11" w:id="7"/>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20"/>
              <w:ind w:left="20"/>
              <w:jc w:val="both"/>
            </w:pPr>
            <w:r>
              <w:rPr>
                <w:rFonts w:ascii="Times New Roman"/>
                <w:b w:val="false"/>
                <w:i/>
                <w:color w:val="000000"/>
                <w:sz w:val="20"/>
              </w:rPr>
              <w:t>по регулированию и развитию</w:t>
            </w:r>
          </w:p>
          <w:p>
            <w:pPr>
              <w:spacing w:after="0"/>
              <w:ind w:left="0"/>
              <w:jc w:val="left"/>
            </w:pPr>
          </w:p>
          <w:p>
            <w:pPr>
              <w:spacing w:after="20"/>
              <w:ind w:left="20"/>
              <w:jc w:val="both"/>
            </w:pPr>
            <w:r>
              <w:rPr>
                <w:rFonts w:ascii="Times New Roman"/>
                <w:b w:val="false"/>
                <w:i/>
                <w:color w:val="000000"/>
                <w:sz w:val="20"/>
              </w:rPr>
              <w:t>финансового рынка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"СОГЛАСОВАНО"</w:t>
      </w:r>
    </w:p>
    <w:bookmarkEnd w:id="8"/>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4" w:id="9"/>
      <w:r>
        <w:rPr>
          <w:rFonts w:ascii="Times New Roman"/>
          <w:b w:val="false"/>
          <w:i w:val="false"/>
          <w:color w:val="000000"/>
          <w:sz w:val="28"/>
        </w:rPr>
        <w:t>
      "СОГЛАСОВАНО"</w:t>
      </w:r>
    </w:p>
    <w:bookmarkEnd w:id="9"/>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Агентства по стратегическому</w:t>
      </w:r>
    </w:p>
    <w:p>
      <w:pPr>
        <w:spacing w:after="0"/>
        <w:ind w:left="0"/>
        <w:jc w:val="both"/>
      </w:pPr>
      <w:r>
        <w:rPr>
          <w:rFonts w:ascii="Times New Roman"/>
          <w:b w:val="false"/>
          <w:i w:val="false"/>
          <w:color w:val="000000"/>
          <w:sz w:val="28"/>
        </w:rPr>
        <w:t>планированию и реформам</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24 июня 2024 года № 30</w:t>
            </w:r>
          </w:p>
        </w:tc>
      </w:tr>
    </w:tbl>
    <w:bookmarkStart w:name="z16" w:id="10"/>
    <w:p>
      <w:pPr>
        <w:spacing w:after="0"/>
        <w:ind w:left="0"/>
        <w:jc w:val="left"/>
      </w:pPr>
      <w:r>
        <w:rPr>
          <w:rFonts w:ascii="Times New Roman"/>
          <w:b/>
          <w:i w:val="false"/>
          <w:color w:val="000000"/>
        </w:rPr>
        <w:t xml:space="preserve"> Перечень нормативных правовых актов Республики Казахстан по вопросам регулирования банковской деятельности, в которые вносятся изменения</w:t>
      </w:r>
    </w:p>
    <w:bookmarkEnd w:id="10"/>
    <w:bookmarkStart w:name="z17" w:id="1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и Правил расчета и лимитов открытой валютной позиции" (зарегистрировано в Реестре государственной регистрации нормативных правовых актов под № 15886) следующие изменения:</w:t>
      </w:r>
    </w:p>
    <w:bookmarkEnd w:id="11"/>
    <w:bookmarkStart w:name="z18" w:id="1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Нормативных значениях</w:t>
      </w:r>
      <w:r>
        <w:rPr>
          <w:rFonts w:ascii="Times New Roman"/>
          <w:b w:val="false"/>
          <w:i w:val="false"/>
          <w:color w:val="000000"/>
          <w:sz w:val="28"/>
        </w:rPr>
        <w:t xml:space="preserve"> и методиках расчетов пруденциальных нормативов и иных обязательных к соблюдению норм и лимитов, размере капитала банка, утвержденных указанным постановлением:</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20" w:id="13"/>
    <w:p>
      <w:pPr>
        <w:spacing w:after="0"/>
        <w:ind w:left="0"/>
        <w:jc w:val="both"/>
      </w:pPr>
      <w:r>
        <w:rPr>
          <w:rFonts w:ascii="Times New Roman"/>
          <w:b w:val="false"/>
          <w:i w:val="false"/>
          <w:color w:val="000000"/>
          <w:sz w:val="28"/>
        </w:rPr>
        <w:t>
      "2. В Нормативах используются следующие понятия:</w:t>
      </w:r>
    </w:p>
    <w:bookmarkEnd w:id="13"/>
    <w:bookmarkStart w:name="z21" w:id="14"/>
    <w:p>
      <w:pPr>
        <w:spacing w:after="0"/>
        <w:ind w:left="0"/>
        <w:jc w:val="both"/>
      </w:pPr>
      <w:r>
        <w:rPr>
          <w:rFonts w:ascii="Times New Roman"/>
          <w:b w:val="false"/>
          <w:i w:val="false"/>
          <w:color w:val="000000"/>
          <w:sz w:val="28"/>
        </w:rPr>
        <w:t>
      1) балансовая стоимость - сумма, по которой заем признается в бухгалтерском балансе после вычета сформированных по ним провизий (резервов);</w:t>
      </w:r>
    </w:p>
    <w:bookmarkEnd w:id="14"/>
    <w:bookmarkStart w:name="z22" w:id="15"/>
    <w:p>
      <w:pPr>
        <w:spacing w:after="0"/>
        <w:ind w:left="0"/>
        <w:jc w:val="both"/>
      </w:pPr>
      <w:r>
        <w:rPr>
          <w:rFonts w:ascii="Times New Roman"/>
          <w:b w:val="false"/>
          <w:i w:val="false"/>
          <w:color w:val="000000"/>
          <w:sz w:val="28"/>
        </w:rPr>
        <w:t>
      2) инвестиционный заем (кредит) - заем (кредит), соответствующий следующим требованиям:</w:t>
      </w:r>
    </w:p>
    <w:bookmarkEnd w:id="15"/>
    <w:bookmarkStart w:name="z23" w:id="16"/>
    <w:p>
      <w:pPr>
        <w:spacing w:after="0"/>
        <w:ind w:left="0"/>
        <w:jc w:val="both"/>
      </w:pPr>
      <w:r>
        <w:rPr>
          <w:rFonts w:ascii="Times New Roman"/>
          <w:b w:val="false"/>
          <w:i w:val="false"/>
          <w:color w:val="000000"/>
          <w:sz w:val="28"/>
        </w:rPr>
        <w:t>
      срок займа (кредита) составляет 5 (пять) и более лет;</w:t>
      </w:r>
    </w:p>
    <w:bookmarkEnd w:id="16"/>
    <w:bookmarkStart w:name="z24" w:id="17"/>
    <w:p>
      <w:pPr>
        <w:spacing w:after="0"/>
        <w:ind w:left="0"/>
        <w:jc w:val="both"/>
      </w:pPr>
      <w:r>
        <w:rPr>
          <w:rFonts w:ascii="Times New Roman"/>
          <w:b w:val="false"/>
          <w:i w:val="false"/>
          <w:color w:val="000000"/>
          <w:sz w:val="28"/>
        </w:rPr>
        <w:t>
      условиями договора займа (кредита) установлен запрет на полное досрочное погашение. Частичное погашение займа осуществляется в сроки и порядке, предусмотренные бизнес-планом заемщика;</w:t>
      </w:r>
    </w:p>
    <w:bookmarkEnd w:id="17"/>
    <w:bookmarkStart w:name="z25" w:id="18"/>
    <w:p>
      <w:pPr>
        <w:spacing w:after="0"/>
        <w:ind w:left="0"/>
        <w:jc w:val="both"/>
      </w:pPr>
      <w:r>
        <w:rPr>
          <w:rFonts w:ascii="Times New Roman"/>
          <w:b w:val="false"/>
          <w:i w:val="false"/>
          <w:color w:val="000000"/>
          <w:sz w:val="28"/>
        </w:rPr>
        <w:t xml:space="preserve">
      заем (кредит) предоставляется юридическому лицу в соответствии с его бизнес-планом, предусматривающим реализацию комплекса мероприятий, направленных на создание, расширение и модернизацию материального производства, производственной и транспортной инфраструктуры; </w:t>
      </w:r>
    </w:p>
    <w:bookmarkEnd w:id="18"/>
    <w:bookmarkStart w:name="z26" w:id="19"/>
    <w:p>
      <w:pPr>
        <w:spacing w:after="0"/>
        <w:ind w:left="0"/>
        <w:jc w:val="both"/>
      </w:pPr>
      <w:r>
        <w:rPr>
          <w:rFonts w:ascii="Times New Roman"/>
          <w:b w:val="false"/>
          <w:i w:val="false"/>
          <w:color w:val="000000"/>
          <w:sz w:val="28"/>
        </w:rPr>
        <w:t>
      3) нетвердые виды залога - имущество и деньги, поступающие в будущем (за исключением прав требований к государственному партнеру по денежным поступлениям, перечисляемым на счет, предназначенный для зачисления компенсации инвестиционных затрат, по договору государственно-частного партнерства, заключенному в соответствии с законодательством Республики Казахстан, являющимся залогом по договору банковского займа, условия которого предусмотрены в пункте 2-1 Нормативов, а также денег, поступающих в будущем по офтейк-контракту, являющемуся залогом по договору банковского займа, при соответствии условиям, предусмотренным в пункте 2-2 Нормативов), в том числе по договорам долевого участия (за исключением денег, поступающих по договорам, заключенным с компаниями с государственным участием (субъектами квазигосударственного сектора), договоры страхования (за исключением договоров страхования, содержащих пункты о безусловном и безотзывном исполнении обязательств, заключенных со страховыми организациями, имеющими рейтинг не ниже "ВВ+" рейтингового агентства Standard &amp; Poor's (Стандард энд Пурс) или рейтинг аналогичного уровня одного из других рейтинговых агентств, договоров страхования, условия которых предусмотрены в пункте 2-1 Нормативов), гарантии физических или юридических лиц (за исключением гарантий юридических лиц, имеющих кредитный рейтинг не ниже "ВВ+" рейтингового агентства Standard &amp; Poor's (Стандард энд Пурс) или рейтинг аналогичного уровня одного из других рейтинговых агентств, гарантий банков второго уровня, имеющих кредитный рейтинг не ниже "В-" рейтингового агентства Standard &amp; Poor's (Стандард энд Пурс) или рейтинг аналогичного уровня одного из других рейтинговых агентств, а также гарантий, выданных национальными управляющими холдингами и их дочерними организациями), нематериальные активы, доли участия в уставном капитале или ценные бумаги, не включенные в официальный список организаторов торгов Республики Казахстан и (или) организаторов торгов, признаваемых международными фондовыми биржами, (за исключением принятых в залоговое обеспечение долей участия в уставном капитале и (или) ценных бумаг юридических лиц, у которых отношение задолженности по займам, выданным на цели, не связанные с финансированием оборотных средств, к прибыли до вычета расходов по выплате начисленных вознаграждений, налоговых отчислений и начисленной амортизации (EBITDA) (ЕБИТДА) составляет не более 4), бумажные зерновые расписки (за исключением прав требований по зерновым распискам соответствующих условиям, предусмотренным пунктом 2-3 Нормативов), залоговое обеспечение, находящееся за пределами Республики Казахстан (за исключением залогового обеспечения, находящегося в странах Евразийского Экономического Союза, при наличии заключения юридических консультантов или специалистов дочерних организаций банка согласно праву указанных стран, подтверждающих надлежащее оформление залогового обеспечения);</w:t>
      </w:r>
    </w:p>
    <w:bookmarkEnd w:id="19"/>
    <w:bookmarkStart w:name="z27" w:id="20"/>
    <w:p>
      <w:pPr>
        <w:spacing w:after="0"/>
        <w:ind w:left="0"/>
        <w:jc w:val="both"/>
      </w:pPr>
      <w:r>
        <w:rPr>
          <w:rFonts w:ascii="Times New Roman"/>
          <w:b w:val="false"/>
          <w:i w:val="false"/>
          <w:color w:val="000000"/>
          <w:sz w:val="28"/>
        </w:rPr>
        <w:t>
      4) беззалоговый потребительский заем – потребительский заем, за исключением:</w:t>
      </w:r>
    </w:p>
    <w:bookmarkEnd w:id="20"/>
    <w:bookmarkStart w:name="z28" w:id="21"/>
    <w:p>
      <w:pPr>
        <w:spacing w:after="0"/>
        <w:ind w:left="0"/>
        <w:jc w:val="both"/>
      </w:pPr>
      <w:r>
        <w:rPr>
          <w:rFonts w:ascii="Times New Roman"/>
          <w:b w:val="false"/>
          <w:i w:val="false"/>
          <w:color w:val="000000"/>
          <w:sz w:val="28"/>
        </w:rPr>
        <w:t>
      займов, обеспеченных залогом прав на недвижимое имущество, залогом движимого имущества, подлежащим обязательной государственной регистрации, полностью покрывающими сумму выдаваемого займа;</w:t>
      </w:r>
    </w:p>
    <w:bookmarkEnd w:id="21"/>
    <w:bookmarkStart w:name="z29" w:id="22"/>
    <w:p>
      <w:pPr>
        <w:spacing w:after="0"/>
        <w:ind w:left="0"/>
        <w:jc w:val="both"/>
      </w:pPr>
      <w:r>
        <w:rPr>
          <w:rFonts w:ascii="Times New Roman"/>
          <w:b w:val="false"/>
          <w:i w:val="false"/>
          <w:color w:val="000000"/>
          <w:sz w:val="28"/>
        </w:rPr>
        <w:t>
      займов, обеспеченных залогом прав по эмиссионным ценным бумагам, подлежащим регистрации, полностью покрывающие сумму выдаваемого займа;</w:t>
      </w:r>
    </w:p>
    <w:bookmarkEnd w:id="22"/>
    <w:bookmarkStart w:name="z30" w:id="23"/>
    <w:p>
      <w:pPr>
        <w:spacing w:after="0"/>
        <w:ind w:left="0"/>
        <w:jc w:val="both"/>
      </w:pPr>
      <w:r>
        <w:rPr>
          <w:rFonts w:ascii="Times New Roman"/>
          <w:b w:val="false"/>
          <w:i w:val="false"/>
          <w:color w:val="000000"/>
          <w:sz w:val="28"/>
        </w:rPr>
        <w:t>
      займов, обеспеченных залогом права требования по договорам долевого участия в жилищном строительстве, полностью покрывающие сумму выдаваемого займа;</w:t>
      </w:r>
    </w:p>
    <w:bookmarkEnd w:id="23"/>
    <w:bookmarkStart w:name="z31" w:id="24"/>
    <w:p>
      <w:pPr>
        <w:spacing w:after="0"/>
        <w:ind w:left="0"/>
        <w:jc w:val="both"/>
      </w:pPr>
      <w:r>
        <w:rPr>
          <w:rFonts w:ascii="Times New Roman"/>
          <w:b w:val="false"/>
          <w:i w:val="false"/>
          <w:color w:val="000000"/>
          <w:sz w:val="28"/>
        </w:rPr>
        <w:t>
      займов, обеспечением по которым выступают деньги, полностью покрывающие сумму выдаваемого займа;</w:t>
      </w:r>
    </w:p>
    <w:bookmarkEnd w:id="24"/>
    <w:bookmarkStart w:name="z32" w:id="25"/>
    <w:p>
      <w:pPr>
        <w:spacing w:after="0"/>
        <w:ind w:left="0"/>
        <w:jc w:val="both"/>
      </w:pPr>
      <w:r>
        <w:rPr>
          <w:rFonts w:ascii="Times New Roman"/>
          <w:b w:val="false"/>
          <w:i w:val="false"/>
          <w:color w:val="000000"/>
          <w:sz w:val="28"/>
        </w:rPr>
        <w:t>
      займов, выдаваемых в рамках системы образовательного кредитования;</w:t>
      </w:r>
    </w:p>
    <w:bookmarkEnd w:id="25"/>
    <w:bookmarkStart w:name="z33" w:id="26"/>
    <w:p>
      <w:pPr>
        <w:spacing w:after="0"/>
        <w:ind w:left="0"/>
        <w:jc w:val="both"/>
      </w:pPr>
      <w:r>
        <w:rPr>
          <w:rFonts w:ascii="Times New Roman"/>
          <w:b w:val="false"/>
          <w:i w:val="false"/>
          <w:color w:val="000000"/>
          <w:sz w:val="28"/>
        </w:rPr>
        <w:t>
      займов, выдаваемых в рамках системы жилищных строительных сбережений;</w:t>
      </w:r>
    </w:p>
    <w:bookmarkEnd w:id="26"/>
    <w:bookmarkStart w:name="z34" w:id="27"/>
    <w:p>
      <w:pPr>
        <w:spacing w:after="0"/>
        <w:ind w:left="0"/>
        <w:jc w:val="both"/>
      </w:pPr>
      <w:r>
        <w:rPr>
          <w:rFonts w:ascii="Times New Roman"/>
          <w:b w:val="false"/>
          <w:i w:val="false"/>
          <w:color w:val="000000"/>
          <w:sz w:val="28"/>
        </w:rPr>
        <w:t>
      5) заем - осуществление банком банковских заемных, лизинговых, факторинговых, форфейтинговых операций, учет векселей и дебиторская задолженность по ранее выданным банковским займам;</w:t>
      </w:r>
    </w:p>
    <w:bookmarkEnd w:id="27"/>
    <w:bookmarkStart w:name="z35" w:id="28"/>
    <w:p>
      <w:pPr>
        <w:spacing w:after="0"/>
        <w:ind w:left="0"/>
        <w:jc w:val="both"/>
      </w:pPr>
      <w:r>
        <w:rPr>
          <w:rFonts w:ascii="Times New Roman"/>
          <w:b w:val="false"/>
          <w:i w:val="false"/>
          <w:color w:val="000000"/>
          <w:sz w:val="28"/>
        </w:rPr>
        <w:t>
      6) заемщик - физическое или юридическое лицо, заключившее договор займа (кредита);</w:t>
      </w:r>
    </w:p>
    <w:bookmarkEnd w:id="28"/>
    <w:bookmarkStart w:name="z36" w:id="29"/>
    <w:p>
      <w:pPr>
        <w:spacing w:after="0"/>
        <w:ind w:left="0"/>
        <w:jc w:val="both"/>
      </w:pPr>
      <w:r>
        <w:rPr>
          <w:rFonts w:ascii="Times New Roman"/>
          <w:b w:val="false"/>
          <w:i w:val="false"/>
          <w:color w:val="000000"/>
          <w:sz w:val="28"/>
        </w:rPr>
        <w:t>
      7) провизии (резервы) - резервы, созданные под обесценение займа;</w:t>
      </w:r>
    </w:p>
    <w:bookmarkEnd w:id="29"/>
    <w:bookmarkStart w:name="z37" w:id="30"/>
    <w:p>
      <w:pPr>
        <w:spacing w:after="0"/>
        <w:ind w:left="0"/>
        <w:jc w:val="both"/>
      </w:pPr>
      <w:r>
        <w:rPr>
          <w:rFonts w:ascii="Times New Roman"/>
          <w:b w:val="false"/>
          <w:i w:val="false"/>
          <w:color w:val="000000"/>
          <w:sz w:val="28"/>
        </w:rPr>
        <w:t>
      8) созаемщик - физическое или юридическое лицо, подписывающее договор займа (кредита) вместе с заемщиком и выступающее по договору займа (кредита) в качестве солидарного ответственного за выполнение обязательств по возврату полученных денег;</w:t>
      </w:r>
    </w:p>
    <w:bookmarkEnd w:id="30"/>
    <w:bookmarkStart w:name="z38" w:id="31"/>
    <w:p>
      <w:pPr>
        <w:spacing w:after="0"/>
        <w:ind w:left="0"/>
        <w:jc w:val="both"/>
      </w:pPr>
      <w:r>
        <w:rPr>
          <w:rFonts w:ascii="Times New Roman"/>
          <w:b w:val="false"/>
          <w:i w:val="false"/>
          <w:color w:val="000000"/>
          <w:sz w:val="28"/>
        </w:rPr>
        <w:t>
      9) регулярный AQR – ежегодная оценка качества активов и условных (возможных) обязательств банков, осуществляемая в рамках риск-ориентированного надзора;</w:t>
      </w:r>
    </w:p>
    <w:bookmarkEnd w:id="31"/>
    <w:bookmarkStart w:name="z39" w:id="32"/>
    <w:p>
      <w:pPr>
        <w:spacing w:after="0"/>
        <w:ind w:left="0"/>
        <w:jc w:val="both"/>
      </w:pPr>
      <w:r>
        <w:rPr>
          <w:rFonts w:ascii="Times New Roman"/>
          <w:b w:val="false"/>
          <w:i w:val="false"/>
          <w:color w:val="000000"/>
          <w:sz w:val="28"/>
        </w:rPr>
        <w:t>
      10) офтейк-контракт - заключенное между заказчиком и потенциальным поставщиком соглашение по гарантированному закупу в будущем запланированных к производству товаров;</w:t>
      </w:r>
    </w:p>
    <w:bookmarkEnd w:id="32"/>
    <w:bookmarkStart w:name="z40" w:id="33"/>
    <w:p>
      <w:pPr>
        <w:spacing w:after="0"/>
        <w:ind w:left="0"/>
        <w:jc w:val="both"/>
      </w:pPr>
      <w:r>
        <w:rPr>
          <w:rFonts w:ascii="Times New Roman"/>
          <w:b w:val="false"/>
          <w:i w:val="false"/>
          <w:color w:val="000000"/>
          <w:sz w:val="28"/>
        </w:rPr>
        <w:t>
      11) SREP – ежегодный надзорный процесс оценки рисков и недостатков в деятельности банков, осуществляемый в рамках риск-ориентированного надзора путем количественного и качественного анализа оценки бизнес модели, рисков капитала, риска ликвидности, системы корпоративного управления банка.";</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w:t>
      </w:r>
      <w:r>
        <w:rPr>
          <w:rFonts w:ascii="Times New Roman"/>
          <w:b w:val="false"/>
          <w:i w:val="false"/>
          <w:color w:val="000000"/>
          <w:sz w:val="28"/>
        </w:rPr>
        <w:t xml:space="preserve"> изложить в следующей редакции:</w:t>
      </w:r>
    </w:p>
    <w:bookmarkStart w:name="z42" w:id="34"/>
    <w:p>
      <w:pPr>
        <w:spacing w:after="0"/>
        <w:ind w:left="0"/>
        <w:jc w:val="both"/>
      </w:pPr>
      <w:r>
        <w:rPr>
          <w:rFonts w:ascii="Times New Roman"/>
          <w:b w:val="false"/>
          <w:i w:val="false"/>
          <w:color w:val="000000"/>
          <w:sz w:val="28"/>
        </w:rPr>
        <w:t>
      "2-2. Деньги, поступающие в будущем по офтейк-контракту, исключаются из нетвердых видов залога в случае соблюдения следующих условий:</w:t>
      </w:r>
    </w:p>
    <w:bookmarkEnd w:id="34"/>
    <w:bookmarkStart w:name="z43" w:id="35"/>
    <w:p>
      <w:pPr>
        <w:spacing w:after="0"/>
        <w:ind w:left="0"/>
        <w:jc w:val="both"/>
      </w:pPr>
      <w:r>
        <w:rPr>
          <w:rFonts w:ascii="Times New Roman"/>
          <w:b w:val="false"/>
          <w:i w:val="false"/>
          <w:color w:val="000000"/>
          <w:sz w:val="28"/>
        </w:rPr>
        <w:t>
      1) заказчиком является:</w:t>
      </w:r>
    </w:p>
    <w:bookmarkEnd w:id="35"/>
    <w:bookmarkStart w:name="z44" w:id="36"/>
    <w:p>
      <w:pPr>
        <w:spacing w:after="0"/>
        <w:ind w:left="0"/>
        <w:jc w:val="both"/>
      </w:pPr>
      <w:r>
        <w:rPr>
          <w:rFonts w:ascii="Times New Roman"/>
          <w:b w:val="false"/>
          <w:i w:val="false"/>
          <w:color w:val="000000"/>
          <w:sz w:val="28"/>
        </w:rPr>
        <w:t>
      юридическое лицо, более 50 (пятидесяти) процентов голосующих акций (долей участия в уставном капитале) которого прямо или косвенно принадлежат государству или национальному управляющему холдингу, либо;</w:t>
      </w:r>
    </w:p>
    <w:bookmarkEnd w:id="36"/>
    <w:bookmarkStart w:name="z45" w:id="37"/>
    <w:p>
      <w:pPr>
        <w:spacing w:after="0"/>
        <w:ind w:left="0"/>
        <w:jc w:val="both"/>
      </w:pPr>
      <w:r>
        <w:rPr>
          <w:rFonts w:ascii="Times New Roman"/>
          <w:b w:val="false"/>
          <w:i w:val="false"/>
          <w:color w:val="000000"/>
          <w:sz w:val="28"/>
        </w:rPr>
        <w:t>
      государственное учреждение, либо;</w:t>
      </w:r>
    </w:p>
    <w:bookmarkEnd w:id="37"/>
    <w:bookmarkStart w:name="z46" w:id="38"/>
    <w:p>
      <w:pPr>
        <w:spacing w:after="0"/>
        <w:ind w:left="0"/>
        <w:jc w:val="both"/>
      </w:pPr>
      <w:r>
        <w:rPr>
          <w:rFonts w:ascii="Times New Roman"/>
          <w:b w:val="false"/>
          <w:i w:val="false"/>
          <w:color w:val="000000"/>
          <w:sz w:val="28"/>
        </w:rPr>
        <w:t>
      местный исполнительный орган области, города республиканского значения, столицы;</w:t>
      </w:r>
    </w:p>
    <w:bookmarkEnd w:id="38"/>
    <w:bookmarkStart w:name="z47" w:id="39"/>
    <w:p>
      <w:pPr>
        <w:spacing w:after="0"/>
        <w:ind w:left="0"/>
        <w:jc w:val="both"/>
      </w:pPr>
      <w:r>
        <w:rPr>
          <w:rFonts w:ascii="Times New Roman"/>
          <w:b w:val="false"/>
          <w:i w:val="false"/>
          <w:color w:val="000000"/>
          <w:sz w:val="28"/>
        </w:rPr>
        <w:t>
      юридическое лицо с рейтингом не ниже "ВB-" рейтингового агентства Standard &amp; Poor's (Стандард энд Пурс) или других рейтинговых агентств, либо;</w:t>
      </w:r>
    </w:p>
    <w:bookmarkEnd w:id="39"/>
    <w:bookmarkStart w:name="z48" w:id="40"/>
    <w:p>
      <w:pPr>
        <w:spacing w:after="0"/>
        <w:ind w:left="0"/>
        <w:jc w:val="both"/>
      </w:pPr>
      <w:r>
        <w:rPr>
          <w:rFonts w:ascii="Times New Roman"/>
          <w:b w:val="false"/>
          <w:i w:val="false"/>
          <w:color w:val="000000"/>
          <w:sz w:val="28"/>
        </w:rPr>
        <w:t>
      крупное системообразующее предприятие, либо;</w:t>
      </w:r>
    </w:p>
    <w:bookmarkEnd w:id="40"/>
    <w:bookmarkStart w:name="z49" w:id="41"/>
    <w:p>
      <w:pPr>
        <w:spacing w:after="0"/>
        <w:ind w:left="0"/>
        <w:jc w:val="both"/>
      </w:pPr>
      <w:r>
        <w:rPr>
          <w:rFonts w:ascii="Times New Roman"/>
          <w:b w:val="false"/>
          <w:i w:val="false"/>
          <w:color w:val="000000"/>
          <w:sz w:val="28"/>
        </w:rPr>
        <w:t>
      юридическое лицо, не менее 70 (семидесяти) процентов доходов которого в течение последних 2 (двух) лет формируются лицами, указанными в абзацах втором, третьем, четвертом, пятом и шестом настоящего подпункта;</w:t>
      </w:r>
    </w:p>
    <w:bookmarkEnd w:id="41"/>
    <w:bookmarkStart w:name="z50" w:id="42"/>
    <w:p>
      <w:pPr>
        <w:spacing w:after="0"/>
        <w:ind w:left="0"/>
        <w:jc w:val="both"/>
      </w:pPr>
      <w:r>
        <w:rPr>
          <w:rFonts w:ascii="Times New Roman"/>
          <w:b w:val="false"/>
          <w:i w:val="false"/>
          <w:color w:val="000000"/>
          <w:sz w:val="28"/>
        </w:rPr>
        <w:t>
      2) условиями контракта предусматривается обязательное исполнение заказчиком своих обязательств перед потенциальным поставщиком при надлежащем исполнении потенциальным поставщиком обязательств, принятых по контракту;</w:t>
      </w:r>
    </w:p>
    <w:bookmarkEnd w:id="42"/>
    <w:bookmarkStart w:name="z51" w:id="43"/>
    <w:p>
      <w:pPr>
        <w:spacing w:after="0"/>
        <w:ind w:left="0"/>
        <w:jc w:val="both"/>
      </w:pPr>
      <w:r>
        <w:rPr>
          <w:rFonts w:ascii="Times New Roman"/>
          <w:b w:val="false"/>
          <w:i w:val="false"/>
          <w:color w:val="000000"/>
          <w:sz w:val="28"/>
        </w:rPr>
        <w:t>
      3) у потенциального поставщика - заемщика имеется положительная кредитная история по данным кредитного бюро, выражающаяся в отсутствии просроченной задолженности сроком более 60 (шестидесяти) календарных дней за последние 2 (два) года.</w:t>
      </w:r>
    </w:p>
    <w:bookmarkEnd w:id="43"/>
    <w:bookmarkStart w:name="z52" w:id="44"/>
    <w:p>
      <w:pPr>
        <w:spacing w:after="0"/>
        <w:ind w:left="0"/>
        <w:jc w:val="both"/>
      </w:pPr>
      <w:r>
        <w:rPr>
          <w:rFonts w:ascii="Times New Roman"/>
          <w:b w:val="false"/>
          <w:i w:val="false"/>
          <w:color w:val="000000"/>
          <w:sz w:val="28"/>
        </w:rPr>
        <w:t>
      Для целей Нормативов к крупным системообразующим предприятиям относятся предприятия, соответствующие следующим критериям:</w:t>
      </w:r>
    </w:p>
    <w:bookmarkEnd w:id="44"/>
    <w:bookmarkStart w:name="z53" w:id="45"/>
    <w:p>
      <w:pPr>
        <w:spacing w:after="0"/>
        <w:ind w:left="0"/>
        <w:jc w:val="both"/>
      </w:pPr>
      <w:r>
        <w:rPr>
          <w:rFonts w:ascii="Times New Roman"/>
          <w:b w:val="false"/>
          <w:i w:val="false"/>
          <w:color w:val="000000"/>
          <w:sz w:val="28"/>
        </w:rPr>
        <w:t>
      выручка от реализации продукции (оказания услуг) составляет не менее 50 (пятидесяти) миллиардов тенге ежегодно за последние 2 (два) года;</w:t>
      </w:r>
    </w:p>
    <w:bookmarkEnd w:id="45"/>
    <w:bookmarkStart w:name="z54" w:id="46"/>
    <w:p>
      <w:pPr>
        <w:spacing w:after="0"/>
        <w:ind w:left="0"/>
        <w:jc w:val="both"/>
      </w:pPr>
      <w:r>
        <w:rPr>
          <w:rFonts w:ascii="Times New Roman"/>
          <w:b w:val="false"/>
          <w:i w:val="false"/>
          <w:color w:val="000000"/>
          <w:sz w:val="28"/>
        </w:rPr>
        <w:t>
      налоговые отчисления составляют не менее 3 (трех) миллиардов тенге ежегодно за последние 2 (два) года.</w:t>
      </w:r>
    </w:p>
    <w:bookmarkEnd w:id="46"/>
    <w:bookmarkStart w:name="z55" w:id="47"/>
    <w:p>
      <w:pPr>
        <w:spacing w:after="0"/>
        <w:ind w:left="0"/>
        <w:jc w:val="both"/>
      </w:pPr>
      <w:r>
        <w:rPr>
          <w:rFonts w:ascii="Times New Roman"/>
          <w:b w:val="false"/>
          <w:i w:val="false"/>
          <w:color w:val="000000"/>
          <w:sz w:val="28"/>
        </w:rPr>
        <w:t>
      В период с 1 июля 2021 года по 31 декабря 2021 года включительно имущество, являющееся обеспечением по договору синдицированного займа, исключается из нетвердых видов залога в случае соблюдения следующих условий:</w:t>
      </w:r>
    </w:p>
    <w:bookmarkEnd w:id="47"/>
    <w:bookmarkStart w:name="z56" w:id="48"/>
    <w:p>
      <w:pPr>
        <w:spacing w:after="0"/>
        <w:ind w:left="0"/>
        <w:jc w:val="both"/>
      </w:pPr>
      <w:r>
        <w:rPr>
          <w:rFonts w:ascii="Times New Roman"/>
          <w:b w:val="false"/>
          <w:i w:val="false"/>
          <w:color w:val="000000"/>
          <w:sz w:val="28"/>
        </w:rPr>
        <w:t>
      по договору синдицированного займа банком-агентом является банк, имеющий долговой рейтинг не ниже "ВВ+" агентства Standard &amp; Poor's (Стандард энд Пурс) или рейтинг аналогичного уровня одного из других рейтинговых агентств;</w:t>
      </w:r>
    </w:p>
    <w:bookmarkEnd w:id="48"/>
    <w:bookmarkStart w:name="z57" w:id="49"/>
    <w:p>
      <w:pPr>
        <w:spacing w:after="0"/>
        <w:ind w:left="0"/>
        <w:jc w:val="both"/>
      </w:pPr>
      <w:r>
        <w:rPr>
          <w:rFonts w:ascii="Times New Roman"/>
          <w:b w:val="false"/>
          <w:i w:val="false"/>
          <w:color w:val="000000"/>
          <w:sz w:val="28"/>
        </w:rPr>
        <w:t>
      доля финансирования банком-агентом составляет не менее 50 (пятидесяти) процентов от суммы финансирования по договору синдицированного займа;</w:t>
      </w:r>
    </w:p>
    <w:bookmarkEnd w:id="49"/>
    <w:bookmarkStart w:name="z58" w:id="50"/>
    <w:p>
      <w:pPr>
        <w:spacing w:after="0"/>
        <w:ind w:left="0"/>
        <w:jc w:val="both"/>
      </w:pPr>
      <w:r>
        <w:rPr>
          <w:rFonts w:ascii="Times New Roman"/>
          <w:b w:val="false"/>
          <w:i w:val="false"/>
          <w:color w:val="000000"/>
          <w:sz w:val="28"/>
        </w:rPr>
        <w:t>
      по договору синдицированного займа сумма финансирования выделяется на инвестиционные цели по строительству производственных объектов;</w:t>
      </w:r>
    </w:p>
    <w:bookmarkEnd w:id="50"/>
    <w:bookmarkStart w:name="z59" w:id="51"/>
    <w:p>
      <w:pPr>
        <w:spacing w:after="0"/>
        <w:ind w:left="0"/>
        <w:jc w:val="both"/>
      </w:pPr>
      <w:r>
        <w:rPr>
          <w:rFonts w:ascii="Times New Roman"/>
          <w:b w:val="false"/>
          <w:i w:val="false"/>
          <w:color w:val="000000"/>
          <w:sz w:val="28"/>
        </w:rPr>
        <w:t>
      финансируемым проектом предусматривается безубыточность проектной компании и положительные денежные потоки от операционной и финансовой деятельности в период после введения объекта строительства в эксплуатацию и до окончания срока финансирования;</w:t>
      </w:r>
    </w:p>
    <w:bookmarkEnd w:id="51"/>
    <w:bookmarkStart w:name="z60" w:id="52"/>
    <w:p>
      <w:pPr>
        <w:spacing w:after="0"/>
        <w:ind w:left="0"/>
        <w:jc w:val="both"/>
      </w:pPr>
      <w:r>
        <w:rPr>
          <w:rFonts w:ascii="Times New Roman"/>
          <w:b w:val="false"/>
          <w:i w:val="false"/>
          <w:color w:val="000000"/>
          <w:sz w:val="28"/>
        </w:rPr>
        <w:t>
      сумма финансирования по договору синдицированного займа выдается на срок не менее 7 (семи) лет.";</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54</w:t>
      </w:r>
      <w:r>
        <w:rPr>
          <w:rFonts w:ascii="Times New Roman"/>
          <w:b w:val="false"/>
          <w:i w:val="false"/>
          <w:color w:val="000000"/>
          <w:sz w:val="28"/>
        </w:rPr>
        <w:t xml:space="preserve"> изложить в следующей редакции:</w:t>
      </w:r>
    </w:p>
    <w:bookmarkStart w:name="z62" w:id="53"/>
    <w:p>
      <w:pPr>
        <w:spacing w:after="0"/>
        <w:ind w:left="0"/>
        <w:jc w:val="both"/>
      </w:pPr>
      <w:r>
        <w:rPr>
          <w:rFonts w:ascii="Times New Roman"/>
          <w:b w:val="false"/>
          <w:i w:val="false"/>
          <w:color w:val="000000"/>
          <w:sz w:val="28"/>
        </w:rPr>
        <w:t>
      "54. Под термином "один заемщик" следует понимать каждое физическое или юридическое лицо, к которому у банка имеются требования или возникают требования, указанные в пункте 57 Нормативов. Размер риска для группы, состоящей из 2 (двух) или более заемщиков, рассчитывается в совокупности, как на 1 (одного) заемщика, если размеры риска каждого из заемщиков превышают 0,1 (ноль целых одна десятая) процента собственного капитала банка, а также при наличии одного из следующих обстоятельств:</w:t>
      </w:r>
    </w:p>
    <w:bookmarkEnd w:id="53"/>
    <w:bookmarkStart w:name="z63" w:id="54"/>
    <w:p>
      <w:pPr>
        <w:spacing w:after="0"/>
        <w:ind w:left="0"/>
        <w:jc w:val="both"/>
      </w:pPr>
      <w:r>
        <w:rPr>
          <w:rFonts w:ascii="Times New Roman"/>
          <w:b w:val="false"/>
          <w:i w:val="false"/>
          <w:color w:val="000000"/>
          <w:sz w:val="28"/>
        </w:rPr>
        <w:t>
      1) один из заемщиков является крупным участником (физическим или юридическим лицом, которое владеет прямо или косвенно десятью или более процентами долей участия в уставном капитале или голосующих акций акционерного общества, товарищества с ограниченной ответственностью или товарищества с дополнительной ответственностью; полным товарищем в коммандитном товариществе; участником в полном товариществе), аффилированным лицом, близким родственником (родителем, ребенком, усыновителем, усыновленным, полнородным и неполнородным братом или сестрой, дедушкой, бабушкой, внуком), супругом (супругой), близким родственником супруга (супруги), первым руководителем другого заемщика, либо лицом, заинтересованным в совершении сделки другим заемщиком;</w:t>
      </w:r>
    </w:p>
    <w:bookmarkEnd w:id="54"/>
    <w:bookmarkStart w:name="z64" w:id="55"/>
    <w:p>
      <w:pPr>
        <w:spacing w:after="0"/>
        <w:ind w:left="0"/>
        <w:jc w:val="both"/>
      </w:pPr>
      <w:r>
        <w:rPr>
          <w:rFonts w:ascii="Times New Roman"/>
          <w:b w:val="false"/>
          <w:i w:val="false"/>
          <w:color w:val="000000"/>
          <w:sz w:val="28"/>
        </w:rPr>
        <w:t>
      2) крупный участник, близкий родственник, супруг (супруга), близкий родственник супруга (супруги) или первый руководитель одного заемщика является крупным участником, близким родственником, супругом (супругой), близким родственником супруга (супруги) или первым руководителем другого заемщика;</w:t>
      </w:r>
    </w:p>
    <w:bookmarkEnd w:id="55"/>
    <w:bookmarkStart w:name="z65" w:id="56"/>
    <w:p>
      <w:pPr>
        <w:spacing w:after="0"/>
        <w:ind w:left="0"/>
        <w:jc w:val="both"/>
      </w:pPr>
      <w:r>
        <w:rPr>
          <w:rFonts w:ascii="Times New Roman"/>
          <w:b w:val="false"/>
          <w:i w:val="false"/>
          <w:color w:val="000000"/>
          <w:sz w:val="28"/>
        </w:rPr>
        <w:t>
      3) крупный участник, близкий родственник, супруг (супруга), близкий родственник супруга (супруги) или первый руководитель одного заемщика является крупным участником, близким родственником, супругом (супругой), близким родственником супруга (супруги) или первым руководителем крупного участника, близкого родственника, супруга (супруги), близкого родственника супруга (супруги) или первого руководителя другого заемщика;</w:t>
      </w:r>
    </w:p>
    <w:bookmarkEnd w:id="56"/>
    <w:bookmarkStart w:name="z66" w:id="57"/>
    <w:p>
      <w:pPr>
        <w:spacing w:after="0"/>
        <w:ind w:left="0"/>
        <w:jc w:val="both"/>
      </w:pPr>
      <w:r>
        <w:rPr>
          <w:rFonts w:ascii="Times New Roman"/>
          <w:b w:val="false"/>
          <w:i w:val="false"/>
          <w:color w:val="000000"/>
          <w:sz w:val="28"/>
        </w:rPr>
        <w:t>
      4) имеются достаточные основания, подтверждающие, что один из заемщиков передал другому в пользование деньги, полученные им от банка в заем, в размере, превышающем собственный капитал передающего заемщика;</w:t>
      </w:r>
    </w:p>
    <w:bookmarkEnd w:id="57"/>
    <w:bookmarkStart w:name="z67" w:id="58"/>
    <w:p>
      <w:pPr>
        <w:spacing w:after="0"/>
        <w:ind w:left="0"/>
        <w:jc w:val="both"/>
      </w:pPr>
      <w:r>
        <w:rPr>
          <w:rFonts w:ascii="Times New Roman"/>
          <w:b w:val="false"/>
          <w:i w:val="false"/>
          <w:color w:val="000000"/>
          <w:sz w:val="28"/>
        </w:rPr>
        <w:t>
      5) имеются достаточные основания, подтверждающие, что заемщики совместно или по отдельности передали средства, полученные от банка в заем, в размере, превышающем совокупный собственный капитал данных заемщиков, в пользование одному и тому же третьему лицу, не являющемуся заемщиком банка;</w:t>
      </w:r>
    </w:p>
    <w:bookmarkEnd w:id="58"/>
    <w:bookmarkStart w:name="z68" w:id="59"/>
    <w:p>
      <w:pPr>
        <w:spacing w:after="0"/>
        <w:ind w:left="0"/>
        <w:jc w:val="both"/>
      </w:pPr>
      <w:r>
        <w:rPr>
          <w:rFonts w:ascii="Times New Roman"/>
          <w:b w:val="false"/>
          <w:i w:val="false"/>
          <w:color w:val="000000"/>
          <w:sz w:val="28"/>
        </w:rPr>
        <w:t>
      6) заемщики связаны таким образом, что один из заемщиков (за исключением банков Республики Казахстан) несет солидарную либо субсидиарную ответственность в сумме, превышающей 10 (десять) процентов его активов, по обязательствам другого заемщика;</w:t>
      </w:r>
    </w:p>
    <w:bookmarkEnd w:id="59"/>
    <w:bookmarkStart w:name="z69" w:id="60"/>
    <w:p>
      <w:pPr>
        <w:spacing w:after="0"/>
        <w:ind w:left="0"/>
        <w:jc w:val="both"/>
      </w:pPr>
      <w:r>
        <w:rPr>
          <w:rFonts w:ascii="Times New Roman"/>
          <w:b w:val="false"/>
          <w:i w:val="false"/>
          <w:color w:val="000000"/>
          <w:sz w:val="28"/>
        </w:rPr>
        <w:t>
      7) должностное лицо одного заемщика имеет финансовую заинтересованность в деятельности других заемщиков банка;</w:t>
      </w:r>
    </w:p>
    <w:bookmarkEnd w:id="60"/>
    <w:bookmarkStart w:name="z70" w:id="61"/>
    <w:p>
      <w:pPr>
        <w:spacing w:after="0"/>
        <w:ind w:left="0"/>
        <w:jc w:val="both"/>
      </w:pPr>
      <w:r>
        <w:rPr>
          <w:rFonts w:ascii="Times New Roman"/>
          <w:b w:val="false"/>
          <w:i w:val="false"/>
          <w:color w:val="000000"/>
          <w:sz w:val="28"/>
        </w:rPr>
        <w:t>
      8) заемщики связаны между собой договором о совместной деятельности либо иным документом, который содержит признаки договора о совместной деятельности, за исключением заемщиков, являющихся членами консорциума;</w:t>
      </w:r>
    </w:p>
    <w:bookmarkEnd w:id="61"/>
    <w:bookmarkStart w:name="z71" w:id="62"/>
    <w:p>
      <w:pPr>
        <w:spacing w:after="0"/>
        <w:ind w:left="0"/>
        <w:jc w:val="both"/>
      </w:pPr>
      <w:r>
        <w:rPr>
          <w:rFonts w:ascii="Times New Roman"/>
          <w:b w:val="false"/>
          <w:i w:val="false"/>
          <w:color w:val="000000"/>
          <w:sz w:val="28"/>
        </w:rPr>
        <w:t>
      9) заемщики связаны таким образом, что их обязательства обеспечены общим залоговым имуществом и (или) гарантией и (или) поручительством одного и того же третьего лица, совокупная стоимость которых покрывает более 35 (тридцати пяти) процентов балансовой стоимости займа, за исключением случаев наличия общего обеспечения, предоставленного в виде страховых полисов, резервных аккредитивов, поручительств, а также гарантий акционерного общества "Фонд развития предпринимательства "ДАМУ", акционерного общества "Фонд национального благосостояния "Самрук-Қазына", акционерного общества "Национальный управляющий холдинг "Байтерек" и их дочерних организаций, акционерного общества "Фонд проблемных кредитов", институтов развития и поддержки предпринимательства Республики Казахстан, Экспортно-кредитного агентства Казахстана, имеющего государственную гарантию по поддержке экспорта, международных финансовых организаций, финансовых организаций, банков-нерезидентов Республики Казахстан, имеющих рейтинг не ниже "B" агентства Standard &amp; Poor's (Стандард энд Пурс) или рейтинг аналогичного уровня одного из других рейтинговых агентств;</w:t>
      </w:r>
    </w:p>
    <w:bookmarkEnd w:id="62"/>
    <w:bookmarkStart w:name="z72" w:id="63"/>
    <w:p>
      <w:pPr>
        <w:spacing w:after="0"/>
        <w:ind w:left="0"/>
        <w:jc w:val="both"/>
      </w:pPr>
      <w:r>
        <w:rPr>
          <w:rFonts w:ascii="Times New Roman"/>
          <w:b w:val="false"/>
          <w:i w:val="false"/>
          <w:color w:val="000000"/>
          <w:sz w:val="28"/>
        </w:rPr>
        <w:t>
      10) заемщики связаны таким образом, что один из заемщиков предоставил залоговое имущество, гарантию, поручительство в обеспечение обязательств другого заемщика, за исключением случаев наличия обеспечения, предоставленного в виде страховых полисов, резервных аккредитивов, поручительств, а также гарантий акционерного общества "Фонд развития предпринимательства "ДАМУ", акционерного общества "Фонд национального благосостояния "Самрук-Қазына", акционерного общества "Национальный управляющий холдинг "Байтерек" и их дочерних организаций, акционерного общества "Фонд проблемных кредитов", институтов развития и поддержки предпринимательства Республики Казахстан, Экспортно-кредитного агентства Казахстана, имеющего государственную гарантию по поддержке экспорта, международных финансовых организаций, финансовых организаций, банков-нерезидентов Республики Казахстан, имеющих рейтинг не ниже "B" агентства Standard &amp; Poor's (Стандард энд Пурс) или рейтинг аналогичного уровня одного из других рейтинговых агентств;</w:t>
      </w:r>
    </w:p>
    <w:bookmarkEnd w:id="63"/>
    <w:bookmarkStart w:name="z73" w:id="64"/>
    <w:p>
      <w:pPr>
        <w:spacing w:after="0"/>
        <w:ind w:left="0"/>
        <w:jc w:val="both"/>
      </w:pPr>
      <w:r>
        <w:rPr>
          <w:rFonts w:ascii="Times New Roman"/>
          <w:b w:val="false"/>
          <w:i w:val="false"/>
          <w:color w:val="000000"/>
          <w:sz w:val="28"/>
        </w:rPr>
        <w:t>
      11) заемщики:</w:t>
      </w:r>
    </w:p>
    <w:bookmarkEnd w:id="64"/>
    <w:bookmarkStart w:name="z74" w:id="65"/>
    <w:p>
      <w:pPr>
        <w:spacing w:after="0"/>
        <w:ind w:left="0"/>
        <w:jc w:val="both"/>
      </w:pPr>
      <w:r>
        <w:rPr>
          <w:rFonts w:ascii="Times New Roman"/>
          <w:b w:val="false"/>
          <w:i w:val="false"/>
          <w:color w:val="000000"/>
          <w:sz w:val="28"/>
        </w:rPr>
        <w:t>
      являются юридическими лицами, зарегистрированными на территории следующих государств: княжество Андорра, княжество Лихтенштейн, Республика Либерия, княжество Монако, Маршалловы острова (Республика Маршалловы острова), или их гражданами, либо;</w:t>
      </w:r>
    </w:p>
    <w:bookmarkEnd w:id="65"/>
    <w:bookmarkStart w:name="z75" w:id="66"/>
    <w:p>
      <w:pPr>
        <w:spacing w:after="0"/>
        <w:ind w:left="0"/>
        <w:jc w:val="both"/>
      </w:pPr>
      <w:r>
        <w:rPr>
          <w:rFonts w:ascii="Times New Roman"/>
          <w:b w:val="false"/>
          <w:i w:val="false"/>
          <w:color w:val="000000"/>
          <w:sz w:val="28"/>
        </w:rPr>
        <w:t>
      являются юридическими лицами, зарегистрированными на территории государств, отнесенных Организацией экономического сотрудничества и развития к перечню офшорных территорий, не принявших обязательств по информационному обмену, или их гражданами, либо;</w:t>
      </w:r>
    </w:p>
    <w:bookmarkEnd w:id="66"/>
    <w:bookmarkStart w:name="z76" w:id="67"/>
    <w:p>
      <w:pPr>
        <w:spacing w:after="0"/>
        <w:ind w:left="0"/>
        <w:jc w:val="both"/>
      </w:pPr>
      <w:r>
        <w:rPr>
          <w:rFonts w:ascii="Times New Roman"/>
          <w:b w:val="false"/>
          <w:i w:val="false"/>
          <w:color w:val="000000"/>
          <w:sz w:val="28"/>
        </w:rPr>
        <w:t>
      имеют крупных участников, аффилированных лиц, близких родственников, первых руководителей либо лиц, заинтересованных в совершении сделок с данными заемщиками, зарегистрированными или являющимися гражданами государств, указанных в абзацах втором и третьем настоящего подпункта;</w:t>
      </w:r>
    </w:p>
    <w:bookmarkEnd w:id="67"/>
    <w:bookmarkStart w:name="z77" w:id="68"/>
    <w:p>
      <w:pPr>
        <w:spacing w:after="0"/>
        <w:ind w:left="0"/>
        <w:jc w:val="both"/>
      </w:pPr>
      <w:r>
        <w:rPr>
          <w:rFonts w:ascii="Times New Roman"/>
          <w:b w:val="false"/>
          <w:i w:val="false"/>
          <w:color w:val="000000"/>
          <w:sz w:val="28"/>
        </w:rPr>
        <w:t xml:space="preserve">
      12) заемщики связаны между собой по другим основаниям, предусмотренным </w:t>
      </w:r>
      <w:r>
        <w:rPr>
          <w:rFonts w:ascii="Times New Roman"/>
          <w:b w:val="false"/>
          <w:i w:val="false"/>
          <w:color w:val="000000"/>
          <w:sz w:val="28"/>
        </w:rPr>
        <w:t>Законом о банках</w:t>
      </w:r>
      <w:r>
        <w:rPr>
          <w:rFonts w:ascii="Times New Roman"/>
          <w:b w:val="false"/>
          <w:i w:val="false"/>
          <w:color w:val="000000"/>
          <w:sz w:val="28"/>
        </w:rPr>
        <w:t>;</w:t>
      </w:r>
    </w:p>
    <w:bookmarkEnd w:id="68"/>
    <w:bookmarkStart w:name="z78" w:id="69"/>
    <w:p>
      <w:pPr>
        <w:spacing w:after="0"/>
        <w:ind w:left="0"/>
        <w:jc w:val="both"/>
      </w:pPr>
      <w:r>
        <w:rPr>
          <w:rFonts w:ascii="Times New Roman"/>
          <w:b w:val="false"/>
          <w:i w:val="false"/>
          <w:color w:val="000000"/>
          <w:sz w:val="28"/>
        </w:rPr>
        <w:t>
      13) заемщики являются участниками проекта по строительству недвижимости, включая заказчика проекта по строительству недвижимости, долевых участников по строительству строящегося объекта и гарантов долевых участников. Размер риска на одного заемщика, образованного группой заемщиков, перечисленных в данном подпункте, не принимается в совокупный расчет размера риска как на одного заемщика в соответствии с подпунктами 1), 2), 3), 4), 5), 6), 7), 8), 9), 10), 11) и 12) настоящего пункта для группы, образованной с участием физических лиц - долевых участников по строительству строящегося объекта и (или) гарантов долевых участников.";</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77</w:t>
      </w:r>
      <w:r>
        <w:rPr>
          <w:rFonts w:ascii="Times New Roman"/>
          <w:b w:val="false"/>
          <w:i w:val="false"/>
          <w:color w:val="000000"/>
          <w:sz w:val="28"/>
        </w:rPr>
        <w:t xml:space="preserve"> изложить в следующей редакции:</w:t>
      </w:r>
    </w:p>
    <w:bookmarkStart w:name="z80" w:id="70"/>
    <w:p>
      <w:pPr>
        <w:spacing w:after="0"/>
        <w:ind w:left="0"/>
        <w:jc w:val="both"/>
      </w:pPr>
      <w:r>
        <w:rPr>
          <w:rFonts w:ascii="Times New Roman"/>
          <w:b w:val="false"/>
          <w:i w:val="false"/>
          <w:color w:val="000000"/>
          <w:sz w:val="28"/>
        </w:rPr>
        <w:t xml:space="preserve">
      "77. Денежный отток рассчитывается как сумма денежных оттоков в течение календарного месяца, следующего за датой расчета коэффициента покрытия ликвидности, с применением коэффициентов оттока, установленных в Таблице денежных оттоков и притоков банка, согласно </w:t>
      </w:r>
      <w:r>
        <w:rPr>
          <w:rFonts w:ascii="Times New Roman"/>
          <w:b w:val="false"/>
          <w:i w:val="false"/>
          <w:color w:val="000000"/>
          <w:sz w:val="28"/>
        </w:rPr>
        <w:t>приложению 14</w:t>
      </w:r>
      <w:r>
        <w:rPr>
          <w:rFonts w:ascii="Times New Roman"/>
          <w:b w:val="false"/>
          <w:i w:val="false"/>
          <w:color w:val="000000"/>
          <w:sz w:val="28"/>
        </w:rPr>
        <w:t xml:space="preserve"> к Нормативам, по следующим обязательствам банка:</w:t>
      </w:r>
    </w:p>
    <w:bookmarkEnd w:id="70"/>
    <w:bookmarkStart w:name="z81" w:id="71"/>
    <w:p>
      <w:pPr>
        <w:spacing w:after="0"/>
        <w:ind w:left="0"/>
        <w:jc w:val="both"/>
      </w:pPr>
      <w:r>
        <w:rPr>
          <w:rFonts w:ascii="Times New Roman"/>
          <w:b w:val="false"/>
          <w:i w:val="false"/>
          <w:color w:val="000000"/>
          <w:sz w:val="28"/>
        </w:rPr>
        <w:t>
      денежные оттоки по обязательствам перед физическими лицами (по текущим счетам, вкладам до востребования, срочным и условным вкладам, по обязательствам, по которым не установлен срок погашения). В случае возможности досрочного изъятия срочных вкладов физических лиц, такие обязательства включаются в расчет коэффициента в полном объеме вне зависимости от срока их исполнения. Вклады, выступающие в качестве обеспечения по выданным банком займам, включаются в расчет в соответствии со сроком погашения соответствующего займа;</w:t>
      </w:r>
    </w:p>
    <w:bookmarkEnd w:id="71"/>
    <w:bookmarkStart w:name="z82" w:id="72"/>
    <w:p>
      <w:pPr>
        <w:spacing w:after="0"/>
        <w:ind w:left="0"/>
        <w:jc w:val="both"/>
      </w:pPr>
      <w:r>
        <w:rPr>
          <w:rFonts w:ascii="Times New Roman"/>
          <w:b w:val="false"/>
          <w:i w:val="false"/>
          <w:color w:val="000000"/>
          <w:sz w:val="28"/>
        </w:rPr>
        <w:t>
      денежные оттоки по обязательствам (по депозитам, кредитам, ценным бумагам, за исключением иной кредиторской задолженности) перед юридическими лицами, субъектами малого предпринимательства, не обеспеченным активами банка, не имеющим определенного срока исполнения либо срок полного исполнения которых составляет не более 1 (одного) месяца, или в течение календарного месяца, следующего за датой расчета коэффициента покрытия ликвидности, в том числе по инициативе юридических лиц, субъектов малого предпринимательства;</w:t>
      </w:r>
    </w:p>
    <w:bookmarkEnd w:id="72"/>
    <w:bookmarkStart w:name="z83" w:id="73"/>
    <w:p>
      <w:pPr>
        <w:spacing w:after="0"/>
        <w:ind w:left="0"/>
        <w:jc w:val="both"/>
      </w:pPr>
      <w:r>
        <w:rPr>
          <w:rFonts w:ascii="Times New Roman"/>
          <w:b w:val="false"/>
          <w:i w:val="false"/>
          <w:color w:val="000000"/>
          <w:sz w:val="28"/>
        </w:rPr>
        <w:t>
      денежные оттоки по обязательствам (по депозитам, кредитам, ценным бумагам, заемным операциям, за исключением иной кредиторской задолженности) перед юридическими лицами, обеспеченным активами банка, срок исполнения которых составляет не более 1 (одного) месяца или в течение календарного месяца, следующего за датой расчета коэффициента покрытия ликвидности;</w:t>
      </w:r>
    </w:p>
    <w:bookmarkEnd w:id="73"/>
    <w:bookmarkStart w:name="z84" w:id="74"/>
    <w:p>
      <w:pPr>
        <w:spacing w:after="0"/>
        <w:ind w:left="0"/>
        <w:jc w:val="both"/>
      </w:pPr>
      <w:r>
        <w:rPr>
          <w:rFonts w:ascii="Times New Roman"/>
          <w:b w:val="false"/>
          <w:i w:val="false"/>
          <w:color w:val="000000"/>
          <w:sz w:val="28"/>
        </w:rPr>
        <w:t>
      дополнительные денежные оттоки по условным и возможным обязательствам, имеющим срок полного исполнения в течение календарного месяца, следующего за датой расчета коэффициента покрытия ликвидности, либо вне зависимости от срока их полного исполнения, в случае если исполнение обязательств предусматривается в течение календарного месяца, следующего за датой расчета коэффициента покрытия ликвидности.</w:t>
      </w:r>
    </w:p>
    <w:bookmarkEnd w:id="74"/>
    <w:bookmarkStart w:name="z85" w:id="75"/>
    <w:p>
      <w:pPr>
        <w:spacing w:after="0"/>
        <w:ind w:left="0"/>
        <w:jc w:val="both"/>
      </w:pPr>
      <w:r>
        <w:rPr>
          <w:rFonts w:ascii="Times New Roman"/>
          <w:b w:val="false"/>
          <w:i w:val="false"/>
          <w:color w:val="000000"/>
          <w:sz w:val="28"/>
        </w:rPr>
        <w:t xml:space="preserve">
      Стабильные депозиты включают гарантируемые депозиты физических лиц в размере, установленном </w:t>
      </w:r>
      <w:r>
        <w:rPr>
          <w:rFonts w:ascii="Times New Roman"/>
          <w:b w:val="false"/>
          <w:i w:val="false"/>
          <w:color w:val="000000"/>
          <w:sz w:val="28"/>
        </w:rPr>
        <w:t>статьей 18</w:t>
      </w:r>
      <w:r>
        <w:rPr>
          <w:rFonts w:ascii="Times New Roman"/>
          <w:b w:val="false"/>
          <w:i w:val="false"/>
          <w:color w:val="000000"/>
          <w:sz w:val="28"/>
        </w:rPr>
        <w:t xml:space="preserve"> Закона Республики Казахстан "Об обязательном гарантировании депозитов, размещенных в банках второго уровня Республики Казахстан" (далее – Закон об обязательном гарантировании депозитов).</w:t>
      </w:r>
    </w:p>
    <w:bookmarkEnd w:id="75"/>
    <w:bookmarkStart w:name="z86" w:id="76"/>
    <w:p>
      <w:pPr>
        <w:spacing w:after="0"/>
        <w:ind w:left="0"/>
        <w:jc w:val="both"/>
      </w:pPr>
      <w:r>
        <w:rPr>
          <w:rFonts w:ascii="Times New Roman"/>
          <w:b w:val="false"/>
          <w:i w:val="false"/>
          <w:color w:val="000000"/>
          <w:sz w:val="28"/>
        </w:rPr>
        <w:t xml:space="preserve">
      Менее стабильные депозиты включают депозиты физических лиц, не являющиеся гарантируемыми, либо являющиеся гарантируемыми, в сумме превышения над размером, установленным </w:t>
      </w:r>
      <w:r>
        <w:rPr>
          <w:rFonts w:ascii="Times New Roman"/>
          <w:b w:val="false"/>
          <w:i w:val="false"/>
          <w:color w:val="000000"/>
          <w:sz w:val="28"/>
        </w:rPr>
        <w:t>статьей 18</w:t>
      </w:r>
      <w:r>
        <w:rPr>
          <w:rFonts w:ascii="Times New Roman"/>
          <w:b w:val="false"/>
          <w:i w:val="false"/>
          <w:color w:val="000000"/>
          <w:sz w:val="28"/>
        </w:rPr>
        <w:t xml:space="preserve"> Закона об обязательном гарантировании депозитов.</w:t>
      </w:r>
    </w:p>
    <w:bookmarkEnd w:id="76"/>
    <w:bookmarkStart w:name="z87" w:id="77"/>
    <w:p>
      <w:pPr>
        <w:spacing w:after="0"/>
        <w:ind w:left="0"/>
        <w:jc w:val="both"/>
      </w:pPr>
      <w:r>
        <w:rPr>
          <w:rFonts w:ascii="Times New Roman"/>
          <w:b w:val="false"/>
          <w:i w:val="false"/>
          <w:color w:val="000000"/>
          <w:sz w:val="28"/>
        </w:rPr>
        <w:t>
      При классификации депозитов физических лиц учитываются депозиты в разрезе на каждого клиента в отдельности по депозитам в национальной и иностранной валютах.</w:t>
      </w:r>
    </w:p>
    <w:bookmarkEnd w:id="77"/>
    <w:bookmarkStart w:name="z88" w:id="78"/>
    <w:p>
      <w:pPr>
        <w:spacing w:after="0"/>
        <w:ind w:left="0"/>
        <w:jc w:val="both"/>
      </w:pPr>
      <w:r>
        <w:rPr>
          <w:rFonts w:ascii="Times New Roman"/>
          <w:b w:val="false"/>
          <w:i w:val="false"/>
          <w:color w:val="000000"/>
          <w:sz w:val="28"/>
        </w:rPr>
        <w:t>
      Денежный отток по обязательствам перед юридическими лицами, субъектами малого предпринимательства, не обеспеченным активами банка, включает необеспеченные обязательства банка перед юридическими лицами, субъектами малого предпринимательства и вклады, связанные с клиринговой, кастодиальной деятельностью, деятельностью по управлению ликвидностью клиента и срочные вклады нефинансовых организаций.</w:t>
      </w:r>
    </w:p>
    <w:bookmarkEnd w:id="78"/>
    <w:bookmarkStart w:name="z89" w:id="79"/>
    <w:p>
      <w:pPr>
        <w:spacing w:after="0"/>
        <w:ind w:left="0"/>
        <w:jc w:val="both"/>
      </w:pPr>
      <w:r>
        <w:rPr>
          <w:rFonts w:ascii="Times New Roman"/>
          <w:b w:val="false"/>
          <w:i w:val="false"/>
          <w:color w:val="000000"/>
          <w:sz w:val="28"/>
        </w:rPr>
        <w:t>
      Вклады, связанные с клиринговой, кастодиальной деятельностью, деятельностью по управлению ликвидностью клиента, включаются в расчет денежного оттока, если договор вклада, связанный с клиринговой, кастодиальной деятельностью, деятельностью по управлению ликвидностью клиента, предусматривает условие предварительного уведомления о расторжении договора не менее чем за 30 (тридцать) календарных дней, либо в случае отсутствия данного условия расторжение договора влечет выплату штрафа в размере, превышающем 2 (два) процента от размера вклада.</w:t>
      </w:r>
    </w:p>
    <w:bookmarkEnd w:id="79"/>
    <w:bookmarkStart w:name="z90" w:id="80"/>
    <w:p>
      <w:pPr>
        <w:spacing w:after="0"/>
        <w:ind w:left="0"/>
        <w:jc w:val="both"/>
      </w:pPr>
      <w:r>
        <w:rPr>
          <w:rFonts w:ascii="Times New Roman"/>
          <w:b w:val="false"/>
          <w:i w:val="false"/>
          <w:color w:val="000000"/>
          <w:sz w:val="28"/>
        </w:rPr>
        <w:t>
      Обязательства по вкладам, связанным с клиринговой, кастодиальной деятельностью, деятельностью по управлению ликвидностью клиента, определяются в размере, равном минимальному остатку денег на банковском счете, достаточному для удовлетворения потребностей клиента.</w:t>
      </w:r>
    </w:p>
    <w:bookmarkEnd w:id="80"/>
    <w:bookmarkStart w:name="z91" w:id="81"/>
    <w:p>
      <w:pPr>
        <w:spacing w:after="0"/>
        <w:ind w:left="0"/>
        <w:jc w:val="both"/>
      </w:pPr>
      <w:r>
        <w:rPr>
          <w:rFonts w:ascii="Times New Roman"/>
          <w:b w:val="false"/>
          <w:i w:val="false"/>
          <w:color w:val="000000"/>
          <w:sz w:val="28"/>
        </w:rPr>
        <w:t>
      В качестве вкладов, связанных с клиринговой, кастодиальной деятельностью, деятельностью по управлению ликвидностью клиента, также признается часть средств на текущих счетах и (или) вкладах до востребования, которые одновременно соответствуют следующим условиям:</w:t>
      </w:r>
    </w:p>
    <w:bookmarkEnd w:id="81"/>
    <w:bookmarkStart w:name="z92" w:id="82"/>
    <w:p>
      <w:pPr>
        <w:spacing w:after="0"/>
        <w:ind w:left="0"/>
        <w:jc w:val="both"/>
      </w:pPr>
      <w:r>
        <w:rPr>
          <w:rFonts w:ascii="Times New Roman"/>
          <w:b w:val="false"/>
          <w:i w:val="false"/>
          <w:color w:val="000000"/>
          <w:sz w:val="28"/>
        </w:rPr>
        <w:t>
      счет открыт и используется клиентом для платежей и (или) переводов не менее или менее 24 (двадцати четырех) месяцев;</w:t>
      </w:r>
    </w:p>
    <w:bookmarkEnd w:id="82"/>
    <w:bookmarkStart w:name="z93" w:id="83"/>
    <w:p>
      <w:pPr>
        <w:spacing w:after="0"/>
        <w:ind w:left="0"/>
        <w:jc w:val="both"/>
      </w:pPr>
      <w:r>
        <w:rPr>
          <w:rFonts w:ascii="Times New Roman"/>
          <w:b w:val="false"/>
          <w:i w:val="false"/>
          <w:color w:val="000000"/>
          <w:sz w:val="28"/>
        </w:rPr>
        <w:t>
      ставка вознаграждения по привлеченным средствам не превышает:</w:t>
      </w:r>
    </w:p>
    <w:bookmarkEnd w:id="83"/>
    <w:bookmarkStart w:name="z94" w:id="84"/>
    <w:p>
      <w:pPr>
        <w:spacing w:after="0"/>
        <w:ind w:left="0"/>
        <w:jc w:val="both"/>
      </w:pPr>
      <w:r>
        <w:rPr>
          <w:rFonts w:ascii="Times New Roman"/>
          <w:b w:val="false"/>
          <w:i w:val="false"/>
          <w:color w:val="000000"/>
          <w:sz w:val="28"/>
        </w:rPr>
        <w:t>
      по текущим счетам – 0 (ноль) процента;</w:t>
      </w:r>
    </w:p>
    <w:bookmarkEnd w:id="84"/>
    <w:bookmarkStart w:name="z95" w:id="85"/>
    <w:p>
      <w:pPr>
        <w:spacing w:after="0"/>
        <w:ind w:left="0"/>
        <w:jc w:val="both"/>
      </w:pPr>
      <w:r>
        <w:rPr>
          <w:rFonts w:ascii="Times New Roman"/>
          <w:b w:val="false"/>
          <w:i w:val="false"/>
          <w:color w:val="000000"/>
          <w:sz w:val="28"/>
        </w:rPr>
        <w:t>
      по вкладам до востребования – 0,1 (ноль целых одну десятую) процента.</w:t>
      </w:r>
    </w:p>
    <w:bookmarkEnd w:id="85"/>
    <w:bookmarkStart w:name="z96" w:id="86"/>
    <w:p>
      <w:pPr>
        <w:spacing w:after="0"/>
        <w:ind w:left="0"/>
        <w:jc w:val="both"/>
      </w:pPr>
      <w:r>
        <w:rPr>
          <w:rFonts w:ascii="Times New Roman"/>
          <w:b w:val="false"/>
          <w:i w:val="false"/>
          <w:color w:val="000000"/>
          <w:sz w:val="28"/>
        </w:rPr>
        <w:t>
      Если счет открыт и используется для платежей и (или) переводов менее 24 (двадцати четырех) месяцев, то в целях признания в качестве вкладов, связанных с клиринговой, кастодиальной деятельностью, деятельностью по управлению ликвидностью клиента, необходимо дополнительно удовлетворять следующим условиям:</w:t>
      </w:r>
    </w:p>
    <w:bookmarkEnd w:id="86"/>
    <w:bookmarkStart w:name="z97" w:id="87"/>
    <w:p>
      <w:pPr>
        <w:spacing w:after="0"/>
        <w:ind w:left="0"/>
        <w:jc w:val="both"/>
      </w:pPr>
      <w:r>
        <w:rPr>
          <w:rFonts w:ascii="Times New Roman"/>
          <w:b w:val="false"/>
          <w:i w:val="false"/>
          <w:color w:val="000000"/>
          <w:sz w:val="28"/>
        </w:rPr>
        <w:t>
      используется как текущий счет или вклад до востребования;</w:t>
      </w:r>
    </w:p>
    <w:bookmarkEnd w:id="87"/>
    <w:bookmarkStart w:name="z98" w:id="88"/>
    <w:p>
      <w:pPr>
        <w:spacing w:after="0"/>
        <w:ind w:left="0"/>
        <w:jc w:val="both"/>
      </w:pPr>
      <w:r>
        <w:rPr>
          <w:rFonts w:ascii="Times New Roman"/>
          <w:b w:val="false"/>
          <w:i w:val="false"/>
          <w:color w:val="000000"/>
          <w:sz w:val="28"/>
        </w:rPr>
        <w:t>
      имеется обязательство перед банком по поддержанию оборотов и (или) минимального остатка денег на счете.</w:t>
      </w:r>
    </w:p>
    <w:bookmarkEnd w:id="88"/>
    <w:bookmarkStart w:name="z99" w:id="89"/>
    <w:p>
      <w:pPr>
        <w:spacing w:after="0"/>
        <w:ind w:left="0"/>
        <w:jc w:val="both"/>
      </w:pPr>
      <w:r>
        <w:rPr>
          <w:rFonts w:ascii="Times New Roman"/>
          <w:b w:val="false"/>
          <w:i w:val="false"/>
          <w:color w:val="000000"/>
          <w:sz w:val="28"/>
        </w:rPr>
        <w:t>
      В случае, когда счет открыт и используется для платежей и (или) переводов менее 24 (двадцати четырех) месяцев, размер вклада, связанного с клиринговой, кастодиальной деятельностью, деятельностью по управлению ликвидностью клиента, рассчитывается как средняя величина остатков на текущем счете или вкладе до востребования с даты возникновения обязательства.</w:t>
      </w:r>
    </w:p>
    <w:bookmarkEnd w:id="89"/>
    <w:bookmarkStart w:name="z100" w:id="90"/>
    <w:p>
      <w:pPr>
        <w:spacing w:after="0"/>
        <w:ind w:left="0"/>
        <w:jc w:val="both"/>
      </w:pPr>
      <w:r>
        <w:rPr>
          <w:rFonts w:ascii="Times New Roman"/>
          <w:b w:val="false"/>
          <w:i w:val="false"/>
          <w:color w:val="000000"/>
          <w:sz w:val="28"/>
        </w:rPr>
        <w:t>
      Банк разрабатывает методику определения минимального остатка денег на банковском счете, достаточного для удовлетворения потребностей клиента, которая основана на расчете средних величин остатков на счете.</w:t>
      </w:r>
    </w:p>
    <w:bookmarkEnd w:id="90"/>
    <w:bookmarkStart w:name="z101" w:id="91"/>
    <w:p>
      <w:pPr>
        <w:spacing w:after="0"/>
        <w:ind w:left="0"/>
        <w:jc w:val="both"/>
      </w:pPr>
      <w:r>
        <w:rPr>
          <w:rFonts w:ascii="Times New Roman"/>
          <w:b w:val="false"/>
          <w:i w:val="false"/>
          <w:color w:val="000000"/>
          <w:sz w:val="28"/>
        </w:rPr>
        <w:t>
      С 1 января 2026 года по обязательствам по срочным вкладам нефинансовых организаций определяется минимальный стабильный остаток денег на банковском счете, если договор срочного вклада предусматривает:</w:t>
      </w:r>
    </w:p>
    <w:bookmarkEnd w:id="91"/>
    <w:bookmarkStart w:name="z102" w:id="92"/>
    <w:p>
      <w:pPr>
        <w:spacing w:after="0"/>
        <w:ind w:left="0"/>
        <w:jc w:val="both"/>
      </w:pPr>
      <w:r>
        <w:rPr>
          <w:rFonts w:ascii="Times New Roman"/>
          <w:b w:val="false"/>
          <w:i w:val="false"/>
          <w:color w:val="000000"/>
          <w:sz w:val="28"/>
        </w:rPr>
        <w:t>
      открытие вклада на определенный срок;</w:t>
      </w:r>
    </w:p>
    <w:bookmarkEnd w:id="92"/>
    <w:bookmarkStart w:name="z103" w:id="93"/>
    <w:p>
      <w:pPr>
        <w:spacing w:after="0"/>
        <w:ind w:left="0"/>
        <w:jc w:val="both"/>
      </w:pPr>
      <w:r>
        <w:rPr>
          <w:rFonts w:ascii="Times New Roman"/>
          <w:b w:val="false"/>
          <w:i w:val="false"/>
          <w:color w:val="000000"/>
          <w:sz w:val="28"/>
        </w:rPr>
        <w:t>
      условие предварительного уведомления о расторжении договора не менее чем за 7 (семь) календарных дней, либо в случае отсутствия данного условия расторжение договора влечет выплату штрафа в размере, превышающем 2 (два) процента от размера вклада;</w:t>
      </w:r>
    </w:p>
    <w:bookmarkEnd w:id="93"/>
    <w:bookmarkStart w:name="z104" w:id="94"/>
    <w:p>
      <w:pPr>
        <w:spacing w:after="0"/>
        <w:ind w:left="0"/>
        <w:jc w:val="both"/>
      </w:pPr>
      <w:r>
        <w:rPr>
          <w:rFonts w:ascii="Times New Roman"/>
          <w:b w:val="false"/>
          <w:i w:val="false"/>
          <w:color w:val="000000"/>
          <w:sz w:val="28"/>
        </w:rPr>
        <w:t>
      имеется обязательство перед банком по поддержанию минимального остатка денег на счете.</w:t>
      </w:r>
    </w:p>
    <w:bookmarkEnd w:id="94"/>
    <w:bookmarkStart w:name="z105" w:id="95"/>
    <w:p>
      <w:pPr>
        <w:spacing w:after="0"/>
        <w:ind w:left="0"/>
        <w:jc w:val="both"/>
      </w:pPr>
      <w:r>
        <w:rPr>
          <w:rFonts w:ascii="Times New Roman"/>
          <w:b w:val="false"/>
          <w:i w:val="false"/>
          <w:color w:val="000000"/>
          <w:sz w:val="28"/>
        </w:rPr>
        <w:t>
      Банк разрабатывает методику определения минимального стабильного остатка денег на банковском счете, которая основана на расчете средних величин остатков на срочных вкладах с использованием исторических данных и статистики отсутствия движения денежных средств по остатку денег на счете клиента, а также с учетом риска изъятия денег при стрессовых ситуациях, подлежащую согласованию с уполномоченным органом.</w:t>
      </w:r>
    </w:p>
    <w:bookmarkEnd w:id="95"/>
    <w:bookmarkStart w:name="z106" w:id="96"/>
    <w:p>
      <w:pPr>
        <w:spacing w:after="0"/>
        <w:ind w:left="0"/>
        <w:jc w:val="both"/>
      </w:pPr>
      <w:r>
        <w:rPr>
          <w:rFonts w:ascii="Times New Roman"/>
          <w:b w:val="false"/>
          <w:i w:val="false"/>
          <w:color w:val="000000"/>
          <w:sz w:val="28"/>
        </w:rPr>
        <w:t xml:space="preserve">
      Денежный отток по обязательствам перед юридическими лицами, обеспеченным активами банка, а также по договорам займа ценных бумаг включает в себя обязательства банка, обеспеченные высококачественными ликвидными активами первого и второго уровней, обязательства перед местными исполнительными органами Республики Казахстан и международными финансовыми организациями, взвешиваемые по степени кредитного риска не более 20 (двадцати) процентов в соответствии с Таблицей активов банка, взвешенных по степени кредитного риска вложений, согласно </w:t>
      </w:r>
      <w:r>
        <w:rPr>
          <w:rFonts w:ascii="Times New Roman"/>
          <w:b w:val="false"/>
          <w:i w:val="false"/>
          <w:color w:val="000000"/>
          <w:sz w:val="28"/>
        </w:rPr>
        <w:t>приложению 5</w:t>
      </w:r>
      <w:r>
        <w:rPr>
          <w:rFonts w:ascii="Times New Roman"/>
          <w:b w:val="false"/>
          <w:i w:val="false"/>
          <w:color w:val="000000"/>
          <w:sz w:val="28"/>
        </w:rPr>
        <w:t xml:space="preserve"> к Нормативам, и иные обязательства, обеспечение по которым не является высококачественным ликвидным активом первого или второго уровней.</w:t>
      </w:r>
    </w:p>
    <w:bookmarkEnd w:id="96"/>
    <w:bookmarkStart w:name="z107" w:id="97"/>
    <w:p>
      <w:pPr>
        <w:spacing w:after="0"/>
        <w:ind w:left="0"/>
        <w:jc w:val="both"/>
      </w:pPr>
      <w:r>
        <w:rPr>
          <w:rFonts w:ascii="Times New Roman"/>
          <w:b w:val="false"/>
          <w:i w:val="false"/>
          <w:color w:val="000000"/>
          <w:sz w:val="28"/>
        </w:rPr>
        <w:t xml:space="preserve">
      Дополнительный денежный отток по условным и возможным обязательствам включает сумму оттоков по условным обязательствам, сделкам с производными финансовыми инструментами и иным операциям, предусмотренным в Таблице денежных оттоков и притоков банка, согласно </w:t>
      </w:r>
      <w:r>
        <w:rPr>
          <w:rFonts w:ascii="Times New Roman"/>
          <w:b w:val="false"/>
          <w:i w:val="false"/>
          <w:color w:val="000000"/>
          <w:sz w:val="28"/>
        </w:rPr>
        <w:t>приложению 14</w:t>
      </w:r>
      <w:r>
        <w:rPr>
          <w:rFonts w:ascii="Times New Roman"/>
          <w:b w:val="false"/>
          <w:i w:val="false"/>
          <w:color w:val="000000"/>
          <w:sz w:val="28"/>
        </w:rPr>
        <w:t xml:space="preserve"> к Нормативам. Дополнительный денежный отток по условным обязательствам, сделкам с производными финансовыми инструментами и иным операциям включает:</w:t>
      </w:r>
    </w:p>
    <w:bookmarkEnd w:id="97"/>
    <w:bookmarkStart w:name="z108" w:id="98"/>
    <w:p>
      <w:pPr>
        <w:spacing w:after="0"/>
        <w:ind w:left="0"/>
        <w:jc w:val="both"/>
      </w:pPr>
      <w:r>
        <w:rPr>
          <w:rFonts w:ascii="Times New Roman"/>
          <w:b w:val="false"/>
          <w:i w:val="false"/>
          <w:color w:val="000000"/>
          <w:sz w:val="28"/>
        </w:rPr>
        <w:t>
      дополнительную потребность в ликвидности по условным обязательствам, сделкам с производными финансовыми инструментами и иным операциям в полном размере, в случае если снижение долгосрочного или краткосрочного кредитного рейтинга банка на 1 (одну), 2 (две) либо 3 (три) ступени от текущего рейтинга банка в соответствии с условиями договора приведет к дополнительной потребности в привлечении ликвидности для предоставления дополнительного обеспечения, денежной выплаты, досрочного выполнения обязательств по договору;</w:t>
      </w:r>
    </w:p>
    <w:bookmarkEnd w:id="98"/>
    <w:bookmarkStart w:name="z109" w:id="99"/>
    <w:p>
      <w:pPr>
        <w:spacing w:after="0"/>
        <w:ind w:left="0"/>
        <w:jc w:val="both"/>
      </w:pPr>
      <w:r>
        <w:rPr>
          <w:rFonts w:ascii="Times New Roman"/>
          <w:b w:val="false"/>
          <w:i w:val="false"/>
          <w:color w:val="000000"/>
          <w:sz w:val="28"/>
        </w:rPr>
        <w:t>
      дополнительную потребность в ликвидности, связанную с изменением рыночной оценки позиций по производным финансовым инструментам или иным операциям, предполагающую перечисление денег при изменении рыночной стоимости. В расчете оттока учитывается наибольший 30 (тридцатидневный) нетто отток за предыдущие 24 (двадцать четыре) месяца, равный оттоку за вычетом притока за указанный период;</w:t>
      </w:r>
    </w:p>
    <w:bookmarkEnd w:id="99"/>
    <w:bookmarkStart w:name="z110" w:id="100"/>
    <w:p>
      <w:pPr>
        <w:spacing w:after="0"/>
        <w:ind w:left="0"/>
        <w:jc w:val="both"/>
      </w:pPr>
      <w:r>
        <w:rPr>
          <w:rFonts w:ascii="Times New Roman"/>
          <w:b w:val="false"/>
          <w:i w:val="false"/>
          <w:color w:val="000000"/>
          <w:sz w:val="28"/>
        </w:rPr>
        <w:t xml:space="preserve">
      дополнительную потребность в ликвидности, связанную с изменением оценки (потенциальной стоимости) предоставленного банком обеспечения либо обеспечения, подлежащего предоставлению по сделкам с производными финансовыми инструментами и иным операциям, в размере 20 (двадцати) процентов от стоимости актива, не являющего высококачественным ликвидным активом первого уровня, рассчитанной с применением коэффициента учета, установленного в Таблице высококачественных ликвидных активов банка, согласно </w:t>
      </w:r>
      <w:r>
        <w:rPr>
          <w:rFonts w:ascii="Times New Roman"/>
          <w:b w:val="false"/>
          <w:i w:val="false"/>
          <w:color w:val="000000"/>
          <w:sz w:val="28"/>
        </w:rPr>
        <w:t>приложению 13</w:t>
      </w:r>
      <w:r>
        <w:rPr>
          <w:rFonts w:ascii="Times New Roman"/>
          <w:b w:val="false"/>
          <w:i w:val="false"/>
          <w:color w:val="000000"/>
          <w:sz w:val="28"/>
        </w:rPr>
        <w:t xml:space="preserve"> к Нормативам, и вычетом полученного обеспечения. Если обеспечением является высококачественный ликвидный актив первого уровня, дополнительная потребность в ликвидности не требуется;</w:t>
      </w:r>
    </w:p>
    <w:bookmarkEnd w:id="100"/>
    <w:bookmarkStart w:name="z111" w:id="101"/>
    <w:p>
      <w:pPr>
        <w:spacing w:after="0"/>
        <w:ind w:left="0"/>
        <w:jc w:val="both"/>
      </w:pPr>
      <w:r>
        <w:rPr>
          <w:rFonts w:ascii="Times New Roman"/>
          <w:b w:val="false"/>
          <w:i w:val="false"/>
          <w:color w:val="000000"/>
          <w:sz w:val="28"/>
        </w:rPr>
        <w:t>
      отток, связанный с правом клиента на требование незамедлительного возврата части предоставленного банку обеспечения по сделкам с производными финансовыми инструментами, обусловленным превышением объема предоставленного обеспечения над необходимым объемом, в полном объеме превышения;</w:t>
      </w:r>
    </w:p>
    <w:bookmarkEnd w:id="101"/>
    <w:bookmarkStart w:name="z112" w:id="102"/>
    <w:p>
      <w:pPr>
        <w:spacing w:after="0"/>
        <w:ind w:left="0"/>
        <w:jc w:val="both"/>
      </w:pPr>
      <w:r>
        <w:rPr>
          <w:rFonts w:ascii="Times New Roman"/>
          <w:b w:val="false"/>
          <w:i w:val="false"/>
          <w:color w:val="000000"/>
          <w:sz w:val="28"/>
        </w:rPr>
        <w:t>
      дополнительную потребность в ликвидности по операциям, предусматривающим предоставление банком обеспечения, и право контрагента на требование обеспечения в соответствии с условиями договора, в случае если обеспечение не предоставлено;</w:t>
      </w:r>
    </w:p>
    <w:bookmarkEnd w:id="102"/>
    <w:bookmarkStart w:name="z113" w:id="103"/>
    <w:p>
      <w:pPr>
        <w:spacing w:after="0"/>
        <w:ind w:left="0"/>
        <w:jc w:val="both"/>
      </w:pPr>
      <w:r>
        <w:rPr>
          <w:rFonts w:ascii="Times New Roman"/>
          <w:b w:val="false"/>
          <w:i w:val="false"/>
          <w:color w:val="000000"/>
          <w:sz w:val="28"/>
        </w:rPr>
        <w:t>
      дополнительную потребность в ликвидности по операциям, предусматривающим замену обеспечения на активы, не являющиеся высококачественными ликвидными активами, без согласования с банком;</w:t>
      </w:r>
    </w:p>
    <w:bookmarkEnd w:id="103"/>
    <w:bookmarkStart w:name="z114" w:id="104"/>
    <w:p>
      <w:pPr>
        <w:spacing w:after="0"/>
        <w:ind w:left="0"/>
        <w:jc w:val="both"/>
      </w:pPr>
      <w:r>
        <w:rPr>
          <w:rFonts w:ascii="Times New Roman"/>
          <w:b w:val="false"/>
          <w:i w:val="false"/>
          <w:color w:val="000000"/>
          <w:sz w:val="28"/>
        </w:rPr>
        <w:t>
      отток по ценным бумагам, выпущенным банком, обеспеченным поступлением денег по активам, и имеющим срок погашения в течение календарного месяца, следующего за датой расчета коэффициента покрытия ликвидности (в том числе по ипотечным ценным бумагам);</w:t>
      </w:r>
    </w:p>
    <w:bookmarkEnd w:id="104"/>
    <w:bookmarkStart w:name="z115" w:id="105"/>
    <w:p>
      <w:pPr>
        <w:spacing w:after="0"/>
        <w:ind w:left="0"/>
        <w:jc w:val="both"/>
      </w:pPr>
      <w:r>
        <w:rPr>
          <w:rFonts w:ascii="Times New Roman"/>
          <w:b w:val="false"/>
          <w:i w:val="false"/>
          <w:color w:val="000000"/>
          <w:sz w:val="28"/>
        </w:rPr>
        <w:t>
      отток по ценным бумагам, обеспеченным поступлением денег по активам и выпущенным дочерними специальными организациями банка (с учетом производных финансовых инструментов, предусматривающих право держателя на предъявление требования на досрочный выкуп в полном или частичном размере), имеющим срок погашения в течение календарного месяца, следующего за датой расчета коэффициента покрытия ликвидности.</w:t>
      </w:r>
    </w:p>
    <w:bookmarkEnd w:id="105"/>
    <w:bookmarkStart w:name="z116" w:id="106"/>
    <w:p>
      <w:pPr>
        <w:spacing w:after="0"/>
        <w:ind w:left="0"/>
        <w:jc w:val="both"/>
      </w:pPr>
      <w:r>
        <w:rPr>
          <w:rFonts w:ascii="Times New Roman"/>
          <w:b w:val="false"/>
          <w:i w:val="false"/>
          <w:color w:val="000000"/>
          <w:sz w:val="28"/>
        </w:rPr>
        <w:t>
      Под дочерними специальными организациями банка понимаются дочерние специальные организации-нерезиденты Республики Казахстан, созданные в целях выпуска и размещения ценных бумаг под гарантию банка и специальные финансовые компании, созданные для сделок секьюритизации.</w:t>
      </w:r>
    </w:p>
    <w:bookmarkEnd w:id="106"/>
    <w:bookmarkStart w:name="z117" w:id="107"/>
    <w:p>
      <w:pPr>
        <w:spacing w:after="0"/>
        <w:ind w:left="0"/>
        <w:jc w:val="both"/>
      </w:pPr>
      <w:r>
        <w:rPr>
          <w:rFonts w:ascii="Times New Roman"/>
          <w:b w:val="false"/>
          <w:i w:val="false"/>
          <w:color w:val="000000"/>
          <w:sz w:val="28"/>
        </w:rPr>
        <w:t>
      В целях расчета дополнительного денежного оттока условные обязательства включают в себя неиспользованные кредитные линии и линии ликвидности при условии, что указанные обязательства являются безотзывными.</w:t>
      </w:r>
    </w:p>
    <w:bookmarkEnd w:id="107"/>
    <w:bookmarkStart w:name="z118" w:id="108"/>
    <w:p>
      <w:pPr>
        <w:spacing w:after="0"/>
        <w:ind w:left="0"/>
        <w:jc w:val="both"/>
      </w:pPr>
      <w:r>
        <w:rPr>
          <w:rFonts w:ascii="Times New Roman"/>
          <w:b w:val="false"/>
          <w:i w:val="false"/>
          <w:color w:val="000000"/>
          <w:sz w:val="28"/>
        </w:rPr>
        <w:t>
      Под линией ликвидности понимаются следующие обязательства банка:</w:t>
      </w:r>
    </w:p>
    <w:bookmarkEnd w:id="108"/>
    <w:bookmarkStart w:name="z119" w:id="109"/>
    <w:p>
      <w:pPr>
        <w:spacing w:after="0"/>
        <w:ind w:left="0"/>
        <w:jc w:val="both"/>
      </w:pPr>
      <w:r>
        <w:rPr>
          <w:rFonts w:ascii="Times New Roman"/>
          <w:b w:val="false"/>
          <w:i w:val="false"/>
          <w:color w:val="000000"/>
          <w:sz w:val="28"/>
        </w:rPr>
        <w:t>
      по предоставлению денег клиенту для погашения ранее выпущенных клиентом ценных бумаг;</w:t>
      </w:r>
    </w:p>
    <w:bookmarkEnd w:id="109"/>
    <w:bookmarkStart w:name="z120" w:id="110"/>
    <w:p>
      <w:pPr>
        <w:spacing w:after="0"/>
        <w:ind w:left="0"/>
        <w:jc w:val="both"/>
      </w:pPr>
      <w:r>
        <w:rPr>
          <w:rFonts w:ascii="Times New Roman"/>
          <w:b w:val="false"/>
          <w:i w:val="false"/>
          <w:color w:val="000000"/>
          <w:sz w:val="28"/>
        </w:rPr>
        <w:t>
      по выкупу ценных бумаг клиента в рамках обязательств по первичному размещению ценных бумаг и (или) операциям на вторичном рынке с ценными бумагами клиента.</w:t>
      </w:r>
    </w:p>
    <w:bookmarkEnd w:id="110"/>
    <w:bookmarkStart w:name="z121" w:id="111"/>
    <w:p>
      <w:pPr>
        <w:spacing w:after="0"/>
        <w:ind w:left="0"/>
        <w:jc w:val="both"/>
      </w:pPr>
      <w:r>
        <w:rPr>
          <w:rFonts w:ascii="Times New Roman"/>
          <w:b w:val="false"/>
          <w:i w:val="false"/>
          <w:color w:val="000000"/>
          <w:sz w:val="28"/>
        </w:rPr>
        <w:t>
      В целях расчета дополнительного оттока условные обязательства включаются в качестве линии ликвидности в размере, не превышающем размер обязательства клиента по выпущенным ценным бумагам, подлежащим к исполнению в течение календарного месяца, следующего за датой расчета коэффициента покрытия ликвидности. Оставшаяся часть неиспользованного условного обязательства, а также обязательства, предоставленные нефинансовым организациям на пополнение оборотных средств, включаются в расчет дополнительного оттока по условным обязательствам в качестве кредитной линии.</w:t>
      </w:r>
    </w:p>
    <w:bookmarkEnd w:id="111"/>
    <w:bookmarkStart w:name="z122" w:id="112"/>
    <w:p>
      <w:pPr>
        <w:spacing w:after="0"/>
        <w:ind w:left="0"/>
        <w:jc w:val="both"/>
      </w:pPr>
      <w:r>
        <w:rPr>
          <w:rFonts w:ascii="Times New Roman"/>
          <w:b w:val="false"/>
          <w:i w:val="false"/>
          <w:color w:val="000000"/>
          <w:sz w:val="28"/>
        </w:rPr>
        <w:t>
      Неиспользованные кредитные линии и линии ликвидности включаются в расчет дополнительного оттока с учетом вычета активов, предоставленных в обеспечение, либо подлежащих предоставлению в обеспечение, и удовлетворяющих каждому из следующих условий:</w:t>
      </w:r>
    </w:p>
    <w:bookmarkEnd w:id="112"/>
    <w:bookmarkStart w:name="z123" w:id="113"/>
    <w:p>
      <w:pPr>
        <w:spacing w:after="0"/>
        <w:ind w:left="0"/>
        <w:jc w:val="both"/>
      </w:pPr>
      <w:r>
        <w:rPr>
          <w:rFonts w:ascii="Times New Roman"/>
          <w:b w:val="false"/>
          <w:i w:val="false"/>
          <w:color w:val="000000"/>
          <w:sz w:val="28"/>
        </w:rPr>
        <w:t>
      являются высококачественными ликвидными активами первого или второго уровней;</w:t>
      </w:r>
    </w:p>
    <w:bookmarkEnd w:id="113"/>
    <w:bookmarkStart w:name="z124" w:id="114"/>
    <w:p>
      <w:pPr>
        <w:spacing w:after="0"/>
        <w:ind w:left="0"/>
        <w:jc w:val="both"/>
      </w:pPr>
      <w:r>
        <w:rPr>
          <w:rFonts w:ascii="Times New Roman"/>
          <w:b w:val="false"/>
          <w:i w:val="false"/>
          <w:color w:val="000000"/>
          <w:sz w:val="28"/>
        </w:rPr>
        <w:t>
      не включены в состав высококачественных ликвидных активов банка;</w:t>
      </w:r>
    </w:p>
    <w:bookmarkEnd w:id="114"/>
    <w:bookmarkStart w:name="z125" w:id="115"/>
    <w:p>
      <w:pPr>
        <w:spacing w:after="0"/>
        <w:ind w:left="0"/>
        <w:jc w:val="both"/>
      </w:pPr>
      <w:r>
        <w:rPr>
          <w:rFonts w:ascii="Times New Roman"/>
          <w:b w:val="false"/>
          <w:i w:val="false"/>
          <w:color w:val="000000"/>
          <w:sz w:val="28"/>
        </w:rPr>
        <w:t>
      доступны для проведения операций, совершаемых на возвратной основе;</w:t>
      </w:r>
    </w:p>
    <w:bookmarkEnd w:id="115"/>
    <w:bookmarkStart w:name="z126" w:id="116"/>
    <w:p>
      <w:pPr>
        <w:spacing w:after="0"/>
        <w:ind w:left="0"/>
        <w:jc w:val="both"/>
      </w:pPr>
      <w:r>
        <w:rPr>
          <w:rFonts w:ascii="Times New Roman"/>
          <w:b w:val="false"/>
          <w:i w:val="false"/>
          <w:color w:val="000000"/>
          <w:sz w:val="28"/>
        </w:rPr>
        <w:t>
      отсутствует право на предъявление требований о досрочном возврате.</w:t>
      </w:r>
    </w:p>
    <w:bookmarkEnd w:id="116"/>
    <w:bookmarkStart w:name="z127" w:id="117"/>
    <w:p>
      <w:pPr>
        <w:spacing w:after="0"/>
        <w:ind w:left="0"/>
        <w:jc w:val="both"/>
      </w:pPr>
      <w:r>
        <w:rPr>
          <w:rFonts w:ascii="Times New Roman"/>
          <w:b w:val="false"/>
          <w:i w:val="false"/>
          <w:color w:val="000000"/>
          <w:sz w:val="28"/>
        </w:rPr>
        <w:t xml:space="preserve">
      Если дополнительные денежные оттоки по обязательствам перед физическими лицами и нефинансовыми организациями, не учтенные в строках 21, 22, 23, 24, 25, 26 и 27 Таблицы денежных оттоков и притоков банка согласно </w:t>
      </w:r>
      <w:r>
        <w:rPr>
          <w:rFonts w:ascii="Times New Roman"/>
          <w:b w:val="false"/>
          <w:i w:val="false"/>
          <w:color w:val="000000"/>
          <w:sz w:val="28"/>
        </w:rPr>
        <w:t>приложению 14</w:t>
      </w:r>
      <w:r>
        <w:rPr>
          <w:rFonts w:ascii="Times New Roman"/>
          <w:b w:val="false"/>
          <w:i w:val="false"/>
          <w:color w:val="000000"/>
          <w:sz w:val="28"/>
        </w:rPr>
        <w:t xml:space="preserve"> к Нормативам, в течение календарного месяца, следующего за датой расчета коэффициента покрытия ликвидности, превышают 50 (пятьдесят) процентов денежного притока от физических лиц и нефинансовых организаций в течение календарного месяца, следующего за датой расчета коэффициента покрытия ликвидности, сумма превышения учитывается в денежном оттоке с применением коэффициента оттока 100 (сто) процентов в соответствии со строкой 30 Таблицы денежных оттоков и притоков банка согласно </w:t>
      </w:r>
      <w:r>
        <w:rPr>
          <w:rFonts w:ascii="Times New Roman"/>
          <w:b w:val="false"/>
          <w:i w:val="false"/>
          <w:color w:val="000000"/>
          <w:sz w:val="28"/>
        </w:rPr>
        <w:t>приложению 14</w:t>
      </w:r>
      <w:r>
        <w:rPr>
          <w:rFonts w:ascii="Times New Roman"/>
          <w:b w:val="false"/>
          <w:i w:val="false"/>
          <w:color w:val="000000"/>
          <w:sz w:val="28"/>
        </w:rPr>
        <w:t xml:space="preserve"> к Нормативам."; </w:t>
      </w:r>
    </w:p>
    <w:bookmarkEnd w:id="1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79</w:t>
      </w:r>
      <w:r>
        <w:rPr>
          <w:rFonts w:ascii="Times New Roman"/>
          <w:b w:val="false"/>
          <w:i w:val="false"/>
          <w:color w:val="000000"/>
          <w:sz w:val="28"/>
        </w:rPr>
        <w:t xml:space="preserve">, </w:t>
      </w:r>
      <w:r>
        <w:rPr>
          <w:rFonts w:ascii="Times New Roman"/>
          <w:b w:val="false"/>
          <w:i w:val="false"/>
          <w:color w:val="000000"/>
          <w:sz w:val="28"/>
        </w:rPr>
        <w:t>80</w:t>
      </w:r>
      <w:r>
        <w:rPr>
          <w:rFonts w:ascii="Times New Roman"/>
          <w:b w:val="false"/>
          <w:i w:val="false"/>
          <w:color w:val="000000"/>
          <w:sz w:val="28"/>
        </w:rPr>
        <w:t xml:space="preserve"> и </w:t>
      </w:r>
      <w:r>
        <w:rPr>
          <w:rFonts w:ascii="Times New Roman"/>
          <w:b w:val="false"/>
          <w:i w:val="false"/>
          <w:color w:val="000000"/>
          <w:sz w:val="28"/>
        </w:rPr>
        <w:t>81</w:t>
      </w:r>
      <w:r>
        <w:rPr>
          <w:rFonts w:ascii="Times New Roman"/>
          <w:b w:val="false"/>
          <w:i w:val="false"/>
          <w:color w:val="000000"/>
          <w:sz w:val="28"/>
        </w:rPr>
        <w:t xml:space="preserve"> изложить в следующей редакции:</w:t>
      </w:r>
    </w:p>
    <w:bookmarkStart w:name="z129" w:id="118"/>
    <w:p>
      <w:pPr>
        <w:spacing w:after="0"/>
        <w:ind w:left="0"/>
        <w:jc w:val="both"/>
      </w:pPr>
      <w:r>
        <w:rPr>
          <w:rFonts w:ascii="Times New Roman"/>
          <w:b w:val="false"/>
          <w:i w:val="false"/>
          <w:color w:val="000000"/>
          <w:sz w:val="28"/>
        </w:rPr>
        <w:t>
      "79. С 1 июля 2016 года по 31 августа 2018 года коэффициент покрытия ликвидности рассчитывается банками с целью оценки риска ликвидности. Расчет коэффициента покрытия ликвидности производится за последний рабочий день месяца с представлением результатов расчетов уполномоченному органу на ежемесячной основе. Минимальное значение коэффициента покрытия ликвидности устанавливается в размере:</w:t>
      </w:r>
    </w:p>
    <w:bookmarkEnd w:id="118"/>
    <w:bookmarkStart w:name="z130" w:id="119"/>
    <w:p>
      <w:pPr>
        <w:spacing w:after="0"/>
        <w:ind w:left="0"/>
        <w:jc w:val="both"/>
      </w:pPr>
      <w:r>
        <w:rPr>
          <w:rFonts w:ascii="Times New Roman"/>
          <w:b w:val="false"/>
          <w:i w:val="false"/>
          <w:color w:val="000000"/>
          <w:sz w:val="28"/>
        </w:rPr>
        <w:t>
      с 1 сентября 2018 года по 31 декабря 2018 года - 0,5;</w:t>
      </w:r>
    </w:p>
    <w:bookmarkEnd w:id="119"/>
    <w:bookmarkStart w:name="z131" w:id="120"/>
    <w:p>
      <w:pPr>
        <w:spacing w:after="0"/>
        <w:ind w:left="0"/>
        <w:jc w:val="both"/>
      </w:pPr>
      <w:r>
        <w:rPr>
          <w:rFonts w:ascii="Times New Roman"/>
          <w:b w:val="false"/>
          <w:i w:val="false"/>
          <w:color w:val="000000"/>
          <w:sz w:val="28"/>
        </w:rPr>
        <w:t>
      с 1 января 2019 года по 31 декабря 2019 года - 0,6;</w:t>
      </w:r>
    </w:p>
    <w:bookmarkEnd w:id="120"/>
    <w:bookmarkStart w:name="z132" w:id="121"/>
    <w:p>
      <w:pPr>
        <w:spacing w:after="0"/>
        <w:ind w:left="0"/>
        <w:jc w:val="both"/>
      </w:pPr>
      <w:r>
        <w:rPr>
          <w:rFonts w:ascii="Times New Roman"/>
          <w:b w:val="false"/>
          <w:i w:val="false"/>
          <w:color w:val="000000"/>
          <w:sz w:val="28"/>
        </w:rPr>
        <w:t>
      с 1 января 2020 года по 31 марта 2020 года - 0,8, с 1 апреля 2020 года по 30 сентября 2020 года - 0,6, с 1 октября 2020 года по 31 декабря 2020 года - 0,8;</w:t>
      </w:r>
    </w:p>
    <w:bookmarkEnd w:id="121"/>
    <w:bookmarkStart w:name="z133" w:id="122"/>
    <w:p>
      <w:pPr>
        <w:spacing w:after="0"/>
        <w:ind w:left="0"/>
        <w:jc w:val="both"/>
      </w:pPr>
      <w:r>
        <w:rPr>
          <w:rFonts w:ascii="Times New Roman"/>
          <w:b w:val="false"/>
          <w:i w:val="false"/>
          <w:color w:val="000000"/>
          <w:sz w:val="28"/>
        </w:rPr>
        <w:t>
      с 1 января 2021 года по 31 декабря 2021 года - 0,9;</w:t>
      </w:r>
    </w:p>
    <w:bookmarkEnd w:id="122"/>
    <w:bookmarkStart w:name="z134" w:id="123"/>
    <w:p>
      <w:pPr>
        <w:spacing w:after="0"/>
        <w:ind w:left="0"/>
        <w:jc w:val="both"/>
      </w:pPr>
      <w:r>
        <w:rPr>
          <w:rFonts w:ascii="Times New Roman"/>
          <w:b w:val="false"/>
          <w:i w:val="false"/>
          <w:color w:val="000000"/>
          <w:sz w:val="28"/>
        </w:rPr>
        <w:t>
      с 1 января 2022 года по 30 апреля 2022 года - 1;</w:t>
      </w:r>
    </w:p>
    <w:bookmarkEnd w:id="123"/>
    <w:bookmarkStart w:name="z135" w:id="124"/>
    <w:p>
      <w:pPr>
        <w:spacing w:after="0"/>
        <w:ind w:left="0"/>
        <w:jc w:val="both"/>
      </w:pPr>
      <w:r>
        <w:rPr>
          <w:rFonts w:ascii="Times New Roman"/>
          <w:b w:val="false"/>
          <w:i w:val="false"/>
          <w:color w:val="000000"/>
          <w:sz w:val="28"/>
        </w:rPr>
        <w:t>
      с 1 мая 2022 года по 31 декабря 2023 года - 0,8;</w:t>
      </w:r>
    </w:p>
    <w:bookmarkEnd w:id="124"/>
    <w:bookmarkStart w:name="z136" w:id="125"/>
    <w:p>
      <w:pPr>
        <w:spacing w:after="0"/>
        <w:ind w:left="0"/>
        <w:jc w:val="both"/>
      </w:pPr>
      <w:r>
        <w:rPr>
          <w:rFonts w:ascii="Times New Roman"/>
          <w:b w:val="false"/>
          <w:i w:val="false"/>
          <w:color w:val="000000"/>
          <w:sz w:val="28"/>
        </w:rPr>
        <w:t>
      c 1 января 2024 года по 31 декабря 2025 года - 0,9;</w:t>
      </w:r>
    </w:p>
    <w:bookmarkEnd w:id="125"/>
    <w:bookmarkStart w:name="z137" w:id="126"/>
    <w:p>
      <w:pPr>
        <w:spacing w:after="0"/>
        <w:ind w:left="0"/>
        <w:jc w:val="both"/>
      </w:pPr>
      <w:r>
        <w:rPr>
          <w:rFonts w:ascii="Times New Roman"/>
          <w:b w:val="false"/>
          <w:i w:val="false"/>
          <w:color w:val="000000"/>
          <w:sz w:val="28"/>
        </w:rPr>
        <w:t>
      с 1 января 2026 года - 1.</w:t>
      </w:r>
    </w:p>
    <w:bookmarkEnd w:id="126"/>
    <w:bookmarkStart w:name="z138" w:id="127"/>
    <w:p>
      <w:pPr>
        <w:spacing w:after="0"/>
        <w:ind w:left="0"/>
        <w:jc w:val="both"/>
      </w:pPr>
      <w:r>
        <w:rPr>
          <w:rFonts w:ascii="Times New Roman"/>
          <w:b w:val="false"/>
          <w:i w:val="false"/>
          <w:color w:val="000000"/>
          <w:sz w:val="28"/>
        </w:rPr>
        <w:t>
      В случае снижения значения коэффициента покрытия ликвидности ниже установленных минимальных значений, но не ниже:</w:t>
      </w:r>
    </w:p>
    <w:bookmarkEnd w:id="127"/>
    <w:bookmarkStart w:name="z139" w:id="128"/>
    <w:p>
      <w:pPr>
        <w:spacing w:after="0"/>
        <w:ind w:left="0"/>
        <w:jc w:val="both"/>
      </w:pPr>
      <w:r>
        <w:rPr>
          <w:rFonts w:ascii="Times New Roman"/>
          <w:b w:val="false"/>
          <w:i w:val="false"/>
          <w:color w:val="000000"/>
          <w:sz w:val="28"/>
        </w:rPr>
        <w:t>
      с 1 сентября 2018 года по 31 декабря 2018 года - 0,43;</w:t>
      </w:r>
    </w:p>
    <w:bookmarkEnd w:id="128"/>
    <w:bookmarkStart w:name="z140" w:id="129"/>
    <w:p>
      <w:pPr>
        <w:spacing w:after="0"/>
        <w:ind w:left="0"/>
        <w:jc w:val="both"/>
      </w:pPr>
      <w:r>
        <w:rPr>
          <w:rFonts w:ascii="Times New Roman"/>
          <w:b w:val="false"/>
          <w:i w:val="false"/>
          <w:color w:val="000000"/>
          <w:sz w:val="28"/>
        </w:rPr>
        <w:t>
      с 1 января 2019 года по 31 декабря 2019 года - 0,50;</w:t>
      </w:r>
    </w:p>
    <w:bookmarkEnd w:id="129"/>
    <w:bookmarkStart w:name="z141" w:id="130"/>
    <w:p>
      <w:pPr>
        <w:spacing w:after="0"/>
        <w:ind w:left="0"/>
        <w:jc w:val="both"/>
      </w:pPr>
      <w:r>
        <w:rPr>
          <w:rFonts w:ascii="Times New Roman"/>
          <w:b w:val="false"/>
          <w:i w:val="false"/>
          <w:color w:val="000000"/>
          <w:sz w:val="28"/>
        </w:rPr>
        <w:t>
      с 1 января 2020 года по 31 марта 2020 года - 0,68, с 1 апреля 2020 года по 30 сентября 2020 года - 0,50, с 1 октября 2020 года по 31 декабря 2020 года -0,68;</w:t>
      </w:r>
    </w:p>
    <w:bookmarkEnd w:id="130"/>
    <w:bookmarkStart w:name="z142" w:id="131"/>
    <w:p>
      <w:pPr>
        <w:spacing w:after="0"/>
        <w:ind w:left="0"/>
        <w:jc w:val="both"/>
      </w:pPr>
      <w:r>
        <w:rPr>
          <w:rFonts w:ascii="Times New Roman"/>
          <w:b w:val="false"/>
          <w:i w:val="false"/>
          <w:color w:val="000000"/>
          <w:sz w:val="28"/>
        </w:rPr>
        <w:t>
      с 1 января 2021 года по 31 декабря 2021 года - 0,77;</w:t>
      </w:r>
    </w:p>
    <w:bookmarkEnd w:id="131"/>
    <w:bookmarkStart w:name="z143" w:id="132"/>
    <w:p>
      <w:pPr>
        <w:spacing w:after="0"/>
        <w:ind w:left="0"/>
        <w:jc w:val="both"/>
      </w:pPr>
      <w:r>
        <w:rPr>
          <w:rFonts w:ascii="Times New Roman"/>
          <w:b w:val="false"/>
          <w:i w:val="false"/>
          <w:color w:val="000000"/>
          <w:sz w:val="28"/>
        </w:rPr>
        <w:t>
      с 1 января 2022 года по 30 апреля 2022 года - 0,85;</w:t>
      </w:r>
    </w:p>
    <w:bookmarkEnd w:id="132"/>
    <w:bookmarkStart w:name="z144" w:id="133"/>
    <w:p>
      <w:pPr>
        <w:spacing w:after="0"/>
        <w:ind w:left="0"/>
        <w:jc w:val="both"/>
      </w:pPr>
      <w:r>
        <w:rPr>
          <w:rFonts w:ascii="Times New Roman"/>
          <w:b w:val="false"/>
          <w:i w:val="false"/>
          <w:color w:val="000000"/>
          <w:sz w:val="28"/>
        </w:rPr>
        <w:t>
      с 1 мая 2022 года по 31 декабря 2023 года - 0,68;</w:t>
      </w:r>
    </w:p>
    <w:bookmarkEnd w:id="133"/>
    <w:bookmarkStart w:name="z145" w:id="134"/>
    <w:p>
      <w:pPr>
        <w:spacing w:after="0"/>
        <w:ind w:left="0"/>
        <w:jc w:val="both"/>
      </w:pPr>
      <w:r>
        <w:rPr>
          <w:rFonts w:ascii="Times New Roman"/>
          <w:b w:val="false"/>
          <w:i w:val="false"/>
          <w:color w:val="000000"/>
          <w:sz w:val="28"/>
        </w:rPr>
        <w:t>
      c 1 января 2024 года по 31 декабря 2025 года - 0,77;</w:t>
      </w:r>
    </w:p>
    <w:bookmarkEnd w:id="134"/>
    <w:bookmarkStart w:name="z146" w:id="135"/>
    <w:p>
      <w:pPr>
        <w:spacing w:after="0"/>
        <w:ind w:left="0"/>
        <w:jc w:val="both"/>
      </w:pPr>
      <w:r>
        <w:rPr>
          <w:rFonts w:ascii="Times New Roman"/>
          <w:b w:val="false"/>
          <w:i w:val="false"/>
          <w:color w:val="000000"/>
          <w:sz w:val="28"/>
        </w:rPr>
        <w:t>
      с 1 января 2026 года - 0,85,</w:t>
      </w:r>
    </w:p>
    <w:bookmarkEnd w:id="135"/>
    <w:bookmarkStart w:name="z147" w:id="136"/>
    <w:p>
      <w:pPr>
        <w:spacing w:after="0"/>
        <w:ind w:left="0"/>
        <w:jc w:val="both"/>
      </w:pPr>
      <w:r>
        <w:rPr>
          <w:rFonts w:ascii="Times New Roman"/>
          <w:b w:val="false"/>
          <w:i w:val="false"/>
          <w:color w:val="000000"/>
          <w:sz w:val="28"/>
        </w:rPr>
        <w:t>
      банк в течение 3 (трех) рабочих дней со дня выявления такого снижения направляет в уполномоченный орган план мероприятий по повышению значений коэффициента покрытия ликвидности до уровня не менее установленных минимальных значений, и производит за каждый рабочий день месяца, следующего за датой снижения коэффициента покрытия ликвидности, расчет значений коэффициента покрытия ликвидности и расчет недостатка до установленных минимальных значений.</w:t>
      </w:r>
    </w:p>
    <w:bookmarkEnd w:id="136"/>
    <w:bookmarkStart w:name="z148" w:id="137"/>
    <w:p>
      <w:pPr>
        <w:spacing w:after="0"/>
        <w:ind w:left="0"/>
        <w:jc w:val="both"/>
      </w:pPr>
      <w:r>
        <w:rPr>
          <w:rFonts w:ascii="Times New Roman"/>
          <w:b w:val="false"/>
          <w:i w:val="false"/>
          <w:color w:val="000000"/>
          <w:sz w:val="28"/>
        </w:rPr>
        <w:t>
      План мероприятий содержит меры по повышению коэффициента покрытия ликвидности до уровня не менее установленных минимальных значений в течение не более 30 (тридцати) календарных дней со дня первого снижения значений коэффициента покрытия ликвидности ниже минимальных установленных значений.</w:t>
      </w:r>
    </w:p>
    <w:bookmarkEnd w:id="137"/>
    <w:bookmarkStart w:name="z149" w:id="138"/>
    <w:p>
      <w:pPr>
        <w:spacing w:after="0"/>
        <w:ind w:left="0"/>
        <w:jc w:val="both"/>
      </w:pPr>
      <w:r>
        <w:rPr>
          <w:rFonts w:ascii="Times New Roman"/>
          <w:b w:val="false"/>
          <w:i w:val="false"/>
          <w:color w:val="000000"/>
          <w:sz w:val="28"/>
        </w:rPr>
        <w:t>
      Недостаток до установленных минимальных значений рассчитывается как разница между установленным минимальным значением и фактическим значением коэффициента покрытия ликвидности.</w:t>
      </w:r>
    </w:p>
    <w:bookmarkEnd w:id="138"/>
    <w:bookmarkStart w:name="z150" w:id="139"/>
    <w:p>
      <w:pPr>
        <w:spacing w:after="0"/>
        <w:ind w:left="0"/>
        <w:jc w:val="both"/>
      </w:pPr>
      <w:r>
        <w:rPr>
          <w:rFonts w:ascii="Times New Roman"/>
          <w:b w:val="false"/>
          <w:i w:val="false"/>
          <w:color w:val="000000"/>
          <w:sz w:val="28"/>
        </w:rPr>
        <w:t>
      Норматив считается исполненным, в случае если сумма недостатков до установленных минимальных значений за месяц, следующий за датой снижения значений коэффициента покрытия ликвидности ниже минимальных установленных значений, составляет не более 0,25.</w:t>
      </w:r>
    </w:p>
    <w:bookmarkEnd w:id="139"/>
    <w:bookmarkStart w:name="z151" w:id="140"/>
    <w:p>
      <w:pPr>
        <w:spacing w:after="0"/>
        <w:ind w:left="0"/>
        <w:jc w:val="both"/>
      </w:pPr>
      <w:r>
        <w:rPr>
          <w:rFonts w:ascii="Times New Roman"/>
          <w:b w:val="false"/>
          <w:i w:val="false"/>
          <w:color w:val="000000"/>
          <w:sz w:val="28"/>
        </w:rPr>
        <w:t>
      Норматив считается нарушенным в следующих случаях:</w:t>
      </w:r>
    </w:p>
    <w:bookmarkEnd w:id="140"/>
    <w:bookmarkStart w:name="z152" w:id="141"/>
    <w:p>
      <w:pPr>
        <w:spacing w:after="0"/>
        <w:ind w:left="0"/>
        <w:jc w:val="both"/>
      </w:pPr>
      <w:r>
        <w:rPr>
          <w:rFonts w:ascii="Times New Roman"/>
          <w:b w:val="false"/>
          <w:i w:val="false"/>
          <w:color w:val="000000"/>
          <w:sz w:val="28"/>
        </w:rPr>
        <w:t>
      снижение значения коэффициента покрытия ликвидности ниже уровня, указанного в абзацах втором, третьем, четвертом, пятом и шестом части второй настоящего пункта;</w:t>
      </w:r>
    </w:p>
    <w:bookmarkEnd w:id="141"/>
    <w:bookmarkStart w:name="z153" w:id="142"/>
    <w:p>
      <w:pPr>
        <w:spacing w:after="0"/>
        <w:ind w:left="0"/>
        <w:jc w:val="both"/>
      </w:pPr>
      <w:r>
        <w:rPr>
          <w:rFonts w:ascii="Times New Roman"/>
          <w:b w:val="false"/>
          <w:i w:val="false"/>
          <w:color w:val="000000"/>
          <w:sz w:val="28"/>
        </w:rPr>
        <w:t>
      снижение значений коэффициента покрытия ликвидности ниже минимальных установленных значений, но в пределах, установленных в абзацах втором, третьем, четвертом, пятом и шестом части второй настоящего пункта, три и более раза за последние 6 (шесть) месяцев;</w:t>
      </w:r>
    </w:p>
    <w:bookmarkEnd w:id="142"/>
    <w:bookmarkStart w:name="z154" w:id="143"/>
    <w:p>
      <w:pPr>
        <w:spacing w:after="0"/>
        <w:ind w:left="0"/>
        <w:jc w:val="both"/>
      </w:pPr>
      <w:r>
        <w:rPr>
          <w:rFonts w:ascii="Times New Roman"/>
          <w:b w:val="false"/>
          <w:i w:val="false"/>
          <w:color w:val="000000"/>
          <w:sz w:val="28"/>
        </w:rPr>
        <w:t>
      не исполнение плана мероприятий по повышению коэффициента покрытия ликвидности до уровня не менее установленных минимальных значений;</w:t>
      </w:r>
    </w:p>
    <w:bookmarkEnd w:id="143"/>
    <w:bookmarkStart w:name="z155" w:id="144"/>
    <w:p>
      <w:pPr>
        <w:spacing w:after="0"/>
        <w:ind w:left="0"/>
        <w:jc w:val="both"/>
      </w:pPr>
      <w:r>
        <w:rPr>
          <w:rFonts w:ascii="Times New Roman"/>
          <w:b w:val="false"/>
          <w:i w:val="false"/>
          <w:color w:val="000000"/>
          <w:sz w:val="28"/>
        </w:rPr>
        <w:t>
      превышение суммы недостатков до установленных минимальных значений за месяц, следующий за датой снижения значений коэффициента покрытия ликвидности ниже минимальных установленных значений, свыше 0,25.</w:t>
      </w:r>
    </w:p>
    <w:bookmarkEnd w:id="144"/>
    <w:bookmarkStart w:name="z156" w:id="145"/>
    <w:p>
      <w:pPr>
        <w:spacing w:after="0"/>
        <w:ind w:left="0"/>
        <w:jc w:val="both"/>
      </w:pPr>
      <w:r>
        <w:rPr>
          <w:rFonts w:ascii="Times New Roman"/>
          <w:b w:val="false"/>
          <w:i w:val="false"/>
          <w:color w:val="000000"/>
          <w:sz w:val="28"/>
        </w:rPr>
        <w:t>
      Коэффициент покрытия ликвидности не считается нарушенным в период с 21 февраля 2022 года по 31 декабря 2022 года включительно в случае снижения его значения ниже установленного минимального значения по независящим от банка обстоятельствам, связанным с:</w:t>
      </w:r>
    </w:p>
    <w:bookmarkEnd w:id="145"/>
    <w:bookmarkStart w:name="z157" w:id="146"/>
    <w:p>
      <w:pPr>
        <w:spacing w:after="0"/>
        <w:ind w:left="0"/>
        <w:jc w:val="both"/>
      </w:pPr>
      <w:r>
        <w:rPr>
          <w:rFonts w:ascii="Times New Roman"/>
          <w:b w:val="false"/>
          <w:i w:val="false"/>
          <w:color w:val="000000"/>
          <w:sz w:val="28"/>
        </w:rPr>
        <w:t>
      оттоком денежных средств клиентов;</w:t>
      </w:r>
    </w:p>
    <w:bookmarkEnd w:id="146"/>
    <w:bookmarkStart w:name="z158" w:id="147"/>
    <w:p>
      <w:pPr>
        <w:spacing w:after="0"/>
        <w:ind w:left="0"/>
        <w:jc w:val="both"/>
      </w:pPr>
      <w:r>
        <w:rPr>
          <w:rFonts w:ascii="Times New Roman"/>
          <w:b w:val="false"/>
          <w:i w:val="false"/>
          <w:color w:val="000000"/>
          <w:sz w:val="28"/>
        </w:rPr>
        <w:t>
      переоценкой стоимости активов и обязательств в связи с изменением биржевого курса тенге к иностранным валютам;</w:t>
      </w:r>
    </w:p>
    <w:bookmarkEnd w:id="147"/>
    <w:bookmarkStart w:name="z159" w:id="148"/>
    <w:p>
      <w:pPr>
        <w:spacing w:after="0"/>
        <w:ind w:left="0"/>
        <w:jc w:val="both"/>
      </w:pPr>
      <w:r>
        <w:rPr>
          <w:rFonts w:ascii="Times New Roman"/>
          <w:b w:val="false"/>
          <w:i w:val="false"/>
          <w:color w:val="000000"/>
          <w:sz w:val="28"/>
        </w:rPr>
        <w:t>
      изменением валютной структуры обязательств банка.</w:t>
      </w:r>
    </w:p>
    <w:bookmarkEnd w:id="148"/>
    <w:bookmarkStart w:name="z160" w:id="149"/>
    <w:p>
      <w:pPr>
        <w:spacing w:after="0"/>
        <w:ind w:left="0"/>
        <w:jc w:val="both"/>
      </w:pPr>
      <w:r>
        <w:rPr>
          <w:rFonts w:ascii="Times New Roman"/>
          <w:b w:val="false"/>
          <w:i w:val="false"/>
          <w:color w:val="000000"/>
          <w:sz w:val="28"/>
        </w:rPr>
        <w:t>
      Банк в течение 3 (трех) рабочих дней со дня выявления такого снижения направляет на согласование в уполномоченный орган план мероприятий по повышению коэффициента покрытия ликвидности до уровня не менее установленного минимального значения в срок до 9 (девяти) месяцев со дня выявления указанного снижения.</w:t>
      </w:r>
    </w:p>
    <w:bookmarkEnd w:id="149"/>
    <w:bookmarkStart w:name="z161" w:id="150"/>
    <w:p>
      <w:pPr>
        <w:spacing w:after="0"/>
        <w:ind w:left="0"/>
        <w:jc w:val="both"/>
      </w:pPr>
      <w:r>
        <w:rPr>
          <w:rFonts w:ascii="Times New Roman"/>
          <w:b w:val="false"/>
          <w:i w:val="false"/>
          <w:color w:val="000000"/>
          <w:sz w:val="28"/>
        </w:rPr>
        <w:t>
      Уполномоченный орган осуществляет согласование плана мероприятий, указанного в части восьмой настоящего пункта, в течение 10 (десяти) рабочих дней со дня его представления.</w:t>
      </w:r>
    </w:p>
    <w:bookmarkEnd w:id="150"/>
    <w:bookmarkStart w:name="z162" w:id="151"/>
    <w:p>
      <w:pPr>
        <w:spacing w:after="0"/>
        <w:ind w:left="0"/>
        <w:jc w:val="both"/>
      </w:pPr>
      <w:r>
        <w:rPr>
          <w:rFonts w:ascii="Times New Roman"/>
          <w:b w:val="false"/>
          <w:i w:val="false"/>
          <w:color w:val="000000"/>
          <w:sz w:val="28"/>
        </w:rPr>
        <w:t>
      В случае, если данное снижение не будет устранено в срок, установленный планом мероприятий, снижение коэффициента покрытия ликвидности рассматривается как нарушение данного норматива со дня выявления указанного снижения.</w:t>
      </w:r>
    </w:p>
    <w:bookmarkEnd w:id="151"/>
    <w:bookmarkStart w:name="z163" w:id="152"/>
    <w:p>
      <w:pPr>
        <w:spacing w:after="0"/>
        <w:ind w:left="0"/>
        <w:jc w:val="both"/>
      </w:pPr>
      <w:r>
        <w:rPr>
          <w:rFonts w:ascii="Times New Roman"/>
          <w:b w:val="false"/>
          <w:i w:val="false"/>
          <w:color w:val="000000"/>
          <w:sz w:val="28"/>
        </w:rPr>
        <w:t>
       80. Коэффициент нетто стабильного фондирования рассчитывается как отношение доступного стабильного фондирования к требуемому стабильному фондированию.</w:t>
      </w:r>
    </w:p>
    <w:bookmarkEnd w:id="152"/>
    <w:bookmarkStart w:name="z164" w:id="153"/>
    <w:p>
      <w:pPr>
        <w:spacing w:after="0"/>
        <w:ind w:left="0"/>
        <w:jc w:val="both"/>
      </w:pPr>
      <w:r>
        <w:rPr>
          <w:rFonts w:ascii="Times New Roman"/>
          <w:b w:val="false"/>
          <w:i w:val="false"/>
          <w:color w:val="000000"/>
          <w:sz w:val="28"/>
        </w:rPr>
        <w:t xml:space="preserve">
      Размер доступного стабильного фондирования рассчитывается как сумма обязательств, согласно данным бухгалтерского баланса, и собственного капитала до вычета инвестиций, указанных в пункте 11 Нормативов, умноженных на коэффициенты доступного стабильного фондирования, установленные в Таблице обязательств доступного стабильного фондирования в соответствии с </w:t>
      </w:r>
      <w:r>
        <w:rPr>
          <w:rFonts w:ascii="Times New Roman"/>
          <w:b w:val="false"/>
          <w:i w:val="false"/>
          <w:color w:val="000000"/>
          <w:sz w:val="28"/>
        </w:rPr>
        <w:t>приложением 15</w:t>
      </w:r>
      <w:r>
        <w:rPr>
          <w:rFonts w:ascii="Times New Roman"/>
          <w:b w:val="false"/>
          <w:i w:val="false"/>
          <w:color w:val="000000"/>
          <w:sz w:val="28"/>
        </w:rPr>
        <w:t xml:space="preserve"> к Нормативам.</w:t>
      </w:r>
    </w:p>
    <w:bookmarkEnd w:id="153"/>
    <w:bookmarkStart w:name="z165" w:id="154"/>
    <w:p>
      <w:pPr>
        <w:spacing w:after="0"/>
        <w:ind w:left="0"/>
        <w:jc w:val="both"/>
      </w:pPr>
      <w:r>
        <w:rPr>
          <w:rFonts w:ascii="Times New Roman"/>
          <w:b w:val="false"/>
          <w:i w:val="false"/>
          <w:color w:val="000000"/>
          <w:sz w:val="28"/>
        </w:rPr>
        <w:t>
      Депозиты физических лиц включаются в расчет доступного стабильного фондирования как стабильные и менее стабильные депозиты в соответствии с частями второй и третьей пункта 77 Нормативов.</w:t>
      </w:r>
    </w:p>
    <w:bookmarkEnd w:id="154"/>
    <w:bookmarkStart w:name="z166" w:id="155"/>
    <w:p>
      <w:pPr>
        <w:spacing w:after="0"/>
        <w:ind w:left="0"/>
        <w:jc w:val="both"/>
      </w:pPr>
      <w:r>
        <w:rPr>
          <w:rFonts w:ascii="Times New Roman"/>
          <w:b w:val="false"/>
          <w:i w:val="false"/>
          <w:color w:val="000000"/>
          <w:sz w:val="28"/>
        </w:rPr>
        <w:t>
      С 1 января 2026 года размер доступного стабильного фондирования по обязательствам по срочным вкладам нефинансовых организаций не превышает размера минимального стабильного остатка денег на банковском счете, определенного в соответствии с методикой определения минимального стабильного остатка денег на банковском счете, указанной в части тринадцатой пункта 77 Нормативов.</w:t>
      </w:r>
    </w:p>
    <w:bookmarkEnd w:id="155"/>
    <w:bookmarkStart w:name="z167" w:id="156"/>
    <w:p>
      <w:pPr>
        <w:spacing w:after="0"/>
        <w:ind w:left="0"/>
        <w:jc w:val="both"/>
      </w:pPr>
      <w:r>
        <w:rPr>
          <w:rFonts w:ascii="Times New Roman"/>
          <w:b w:val="false"/>
          <w:i w:val="false"/>
          <w:color w:val="000000"/>
          <w:sz w:val="28"/>
        </w:rPr>
        <w:t>
      В качестве вкладов, связанных с клиринговой, кастодиальной деятельностью, деятельностью по управлению ликвидностью клиента, признаются текущие счета и вклады до востребования, которые соответствуют частям восьмой, девятой, десятой и одиннадцатой пункта 77 Нормативов.</w:t>
      </w:r>
    </w:p>
    <w:bookmarkEnd w:id="156"/>
    <w:bookmarkStart w:name="z168" w:id="157"/>
    <w:p>
      <w:pPr>
        <w:spacing w:after="0"/>
        <w:ind w:left="0"/>
        <w:jc w:val="both"/>
      </w:pPr>
      <w:r>
        <w:rPr>
          <w:rFonts w:ascii="Times New Roman"/>
          <w:b w:val="false"/>
          <w:i w:val="false"/>
          <w:color w:val="000000"/>
          <w:sz w:val="28"/>
        </w:rPr>
        <w:t xml:space="preserve">
      Размер требуемого стабильного фондирования рассчитывается в совокупности как активы, согласно данным бухгалтерского баланса, умноженные на коэффициенты требуемого стабильного фондирования, установленные в Таблице активов требуемого стабильного фондирования, согласно </w:t>
      </w:r>
      <w:r>
        <w:rPr>
          <w:rFonts w:ascii="Times New Roman"/>
          <w:b w:val="false"/>
          <w:i w:val="false"/>
          <w:color w:val="000000"/>
          <w:sz w:val="28"/>
        </w:rPr>
        <w:t>приложению 16</w:t>
      </w:r>
      <w:r>
        <w:rPr>
          <w:rFonts w:ascii="Times New Roman"/>
          <w:b w:val="false"/>
          <w:i w:val="false"/>
          <w:color w:val="000000"/>
          <w:sz w:val="28"/>
        </w:rPr>
        <w:t xml:space="preserve"> к Нормативам, и условные и возможные обязательства требуемого стабильного фондирования, умноженные на коэффициент требуемого стабильного фондирования, установленный в Таблице условных и возможных обязательств требуемого стабильного фондирования, согласно приложению 17 к Нормативам.</w:t>
      </w:r>
    </w:p>
    <w:bookmarkEnd w:id="157"/>
    <w:bookmarkStart w:name="z169" w:id="158"/>
    <w:p>
      <w:pPr>
        <w:spacing w:after="0"/>
        <w:ind w:left="0"/>
        <w:jc w:val="both"/>
      </w:pPr>
      <w:r>
        <w:rPr>
          <w:rFonts w:ascii="Times New Roman"/>
          <w:b w:val="false"/>
          <w:i w:val="false"/>
          <w:color w:val="000000"/>
          <w:sz w:val="28"/>
        </w:rPr>
        <w:t>
       81. С 1 января 2018 года по 31 декабря 2018 года коэффициент нетто стабильного фондирования рассчитывается банками с целью оценки риска ликвидности с представлением результатов расчетов уполномоченному органу на ежемесячной основе.</w:t>
      </w:r>
    </w:p>
    <w:bookmarkEnd w:id="158"/>
    <w:bookmarkStart w:name="z170" w:id="159"/>
    <w:p>
      <w:pPr>
        <w:spacing w:after="0"/>
        <w:ind w:left="0"/>
        <w:jc w:val="both"/>
      </w:pPr>
      <w:r>
        <w:rPr>
          <w:rFonts w:ascii="Times New Roman"/>
          <w:b w:val="false"/>
          <w:i w:val="false"/>
          <w:color w:val="000000"/>
          <w:sz w:val="28"/>
        </w:rPr>
        <w:t>
      Минимальное значение коэффициента нетто стабильного фондирования устанавливается в размере:</w:t>
      </w:r>
    </w:p>
    <w:bookmarkEnd w:id="159"/>
    <w:bookmarkStart w:name="z171" w:id="160"/>
    <w:p>
      <w:pPr>
        <w:spacing w:after="0"/>
        <w:ind w:left="0"/>
        <w:jc w:val="both"/>
      </w:pPr>
      <w:r>
        <w:rPr>
          <w:rFonts w:ascii="Times New Roman"/>
          <w:b w:val="false"/>
          <w:i w:val="false"/>
          <w:color w:val="000000"/>
          <w:sz w:val="28"/>
        </w:rPr>
        <w:t>
       c 1 января 2019 года по 31 мая 2022 года - 1;</w:t>
      </w:r>
    </w:p>
    <w:bookmarkEnd w:id="160"/>
    <w:bookmarkStart w:name="z172" w:id="161"/>
    <w:p>
      <w:pPr>
        <w:spacing w:after="0"/>
        <w:ind w:left="0"/>
        <w:jc w:val="both"/>
      </w:pPr>
      <w:r>
        <w:rPr>
          <w:rFonts w:ascii="Times New Roman"/>
          <w:b w:val="false"/>
          <w:i w:val="false"/>
          <w:color w:val="000000"/>
          <w:sz w:val="28"/>
        </w:rPr>
        <w:t>
       с 1 июня 2022 года по 31 декабря 2023 года - 0,8;</w:t>
      </w:r>
    </w:p>
    <w:bookmarkEnd w:id="161"/>
    <w:bookmarkStart w:name="z173" w:id="162"/>
    <w:p>
      <w:pPr>
        <w:spacing w:after="0"/>
        <w:ind w:left="0"/>
        <w:jc w:val="both"/>
      </w:pPr>
      <w:r>
        <w:rPr>
          <w:rFonts w:ascii="Times New Roman"/>
          <w:b w:val="false"/>
          <w:i w:val="false"/>
          <w:color w:val="000000"/>
          <w:sz w:val="28"/>
        </w:rPr>
        <w:t>
       c 1 января 2024 года по 31 декабря 2025 года - 0,9;</w:t>
      </w:r>
    </w:p>
    <w:bookmarkEnd w:id="162"/>
    <w:bookmarkStart w:name="z174" w:id="163"/>
    <w:p>
      <w:pPr>
        <w:spacing w:after="0"/>
        <w:ind w:left="0"/>
        <w:jc w:val="both"/>
      </w:pPr>
      <w:r>
        <w:rPr>
          <w:rFonts w:ascii="Times New Roman"/>
          <w:b w:val="false"/>
          <w:i w:val="false"/>
          <w:color w:val="000000"/>
          <w:sz w:val="28"/>
        </w:rPr>
        <w:t>
       с 1 января 2026 года - 1.</w:t>
      </w:r>
    </w:p>
    <w:bookmarkEnd w:id="163"/>
    <w:bookmarkStart w:name="z175" w:id="164"/>
    <w:p>
      <w:pPr>
        <w:spacing w:after="0"/>
        <w:ind w:left="0"/>
        <w:jc w:val="both"/>
      </w:pPr>
      <w:r>
        <w:rPr>
          <w:rFonts w:ascii="Times New Roman"/>
          <w:b w:val="false"/>
          <w:i w:val="false"/>
          <w:color w:val="000000"/>
          <w:sz w:val="28"/>
        </w:rPr>
        <w:t>
      Коэффициент нетто стабильного фондирования не считается нарушенным в период с 21 февраля 2022 года по 31 декабря 2022 года включительно в случае снижения его значения ниже установленного минимального значения по независящим от банка обстоятельствам, связанным с:</w:t>
      </w:r>
    </w:p>
    <w:bookmarkEnd w:id="164"/>
    <w:bookmarkStart w:name="z176" w:id="165"/>
    <w:p>
      <w:pPr>
        <w:spacing w:after="0"/>
        <w:ind w:left="0"/>
        <w:jc w:val="both"/>
      </w:pPr>
      <w:r>
        <w:rPr>
          <w:rFonts w:ascii="Times New Roman"/>
          <w:b w:val="false"/>
          <w:i w:val="false"/>
          <w:color w:val="000000"/>
          <w:sz w:val="28"/>
        </w:rPr>
        <w:t>
      оттоком денежных средств клиентов;</w:t>
      </w:r>
    </w:p>
    <w:bookmarkEnd w:id="165"/>
    <w:bookmarkStart w:name="z177" w:id="166"/>
    <w:p>
      <w:pPr>
        <w:spacing w:after="0"/>
        <w:ind w:left="0"/>
        <w:jc w:val="both"/>
      </w:pPr>
      <w:r>
        <w:rPr>
          <w:rFonts w:ascii="Times New Roman"/>
          <w:b w:val="false"/>
          <w:i w:val="false"/>
          <w:color w:val="000000"/>
          <w:sz w:val="28"/>
        </w:rPr>
        <w:t>
      переоценкой стоимости активов и обязательств в связи с изменением биржевого курса тенге к иностранным валютам;</w:t>
      </w:r>
    </w:p>
    <w:bookmarkEnd w:id="166"/>
    <w:bookmarkStart w:name="z178" w:id="167"/>
    <w:p>
      <w:pPr>
        <w:spacing w:after="0"/>
        <w:ind w:left="0"/>
        <w:jc w:val="both"/>
      </w:pPr>
      <w:r>
        <w:rPr>
          <w:rFonts w:ascii="Times New Roman"/>
          <w:b w:val="false"/>
          <w:i w:val="false"/>
          <w:color w:val="000000"/>
          <w:sz w:val="28"/>
        </w:rPr>
        <w:t>
      изменением валютной структуры обязательств банка.</w:t>
      </w:r>
    </w:p>
    <w:bookmarkEnd w:id="167"/>
    <w:bookmarkStart w:name="z179" w:id="168"/>
    <w:p>
      <w:pPr>
        <w:spacing w:after="0"/>
        <w:ind w:left="0"/>
        <w:jc w:val="both"/>
      </w:pPr>
      <w:r>
        <w:rPr>
          <w:rFonts w:ascii="Times New Roman"/>
          <w:b w:val="false"/>
          <w:i w:val="false"/>
          <w:color w:val="000000"/>
          <w:sz w:val="28"/>
        </w:rPr>
        <w:t>
      Банк в течение 3 (трех) рабочих дней со дня выявления такого снижения направляет на согласование в уполномоченный орган план мероприятий по повышению коэффициента нетто стабильного фондирования до уровня не менее установленного минимального значения в срок до 9 (девяти) месяцев со дня выявления указанного снижения.</w:t>
      </w:r>
    </w:p>
    <w:bookmarkEnd w:id="168"/>
    <w:bookmarkStart w:name="z180" w:id="169"/>
    <w:p>
      <w:pPr>
        <w:spacing w:after="0"/>
        <w:ind w:left="0"/>
        <w:jc w:val="both"/>
      </w:pPr>
      <w:r>
        <w:rPr>
          <w:rFonts w:ascii="Times New Roman"/>
          <w:b w:val="false"/>
          <w:i w:val="false"/>
          <w:color w:val="000000"/>
          <w:sz w:val="28"/>
        </w:rPr>
        <w:t>
      Уполномоченный орган осуществляет согласование плана мероприятий, указанного в части четвертой настоящего пункта, в течение 10 (десяти) рабочих дней со дня его представления.</w:t>
      </w:r>
    </w:p>
    <w:bookmarkEnd w:id="169"/>
    <w:bookmarkStart w:name="z181" w:id="170"/>
    <w:p>
      <w:pPr>
        <w:spacing w:after="0"/>
        <w:ind w:left="0"/>
        <w:jc w:val="both"/>
      </w:pPr>
      <w:r>
        <w:rPr>
          <w:rFonts w:ascii="Times New Roman"/>
          <w:b w:val="false"/>
          <w:i w:val="false"/>
          <w:color w:val="000000"/>
          <w:sz w:val="28"/>
        </w:rPr>
        <w:t>
      В случае, если данное снижение не будет устранено в срок, установленный планом мероприятий, снижение коэффициента нетто стабильного фондирования является нарушением данного норматива со дня выявления указанного снижения.";</w:t>
      </w:r>
    </w:p>
    <w:bookmarkEnd w:id="1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Перечню нормативных правовых актов Республики Казахстан по вопросам регулирования банковской деятельности, в которые вносятся изменения (далее - Перечень);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14</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15</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Перечню.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 утрачивает силу постановлением Правления Агентства РК по регулированию и развитию финансового рынка от 29.09.2025 </w:t>
      </w:r>
      <w:r>
        <w:rPr>
          <w:rFonts w:ascii="Times New Roman"/>
          <w:b w:val="false"/>
          <w:i w:val="false"/>
          <w:color w:val="ff0000"/>
          <w:sz w:val="28"/>
        </w:rPr>
        <w:t>№ 61</w:t>
      </w:r>
      <w:r>
        <w:rPr>
          <w:rFonts w:ascii="Times New Roman"/>
          <w:b w:val="false"/>
          <w:i w:val="false"/>
          <w:color w:val="ff0000"/>
          <w:sz w:val="28"/>
        </w:rPr>
        <w:t xml:space="preserve"> (вводится в действие с </w:t>
      </w:r>
      <w:r>
        <w:rPr>
          <w:rFonts w:ascii="Times New Roman"/>
          <w:b w:val="false"/>
          <w:i w:val="false"/>
          <w:color w:val="ff0000"/>
          <w:sz w:val="28"/>
        </w:rPr>
        <w:t>01.01.2026</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22 декабря 2017 года № 269 "Об утверждении Правил создания провизий (резервов)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(зарегистрировано в Реестре государственной регистрации нормативных правовых актов под № 16502) следующие изменения:</w:t>
      </w:r>
    </w:p>
    <w:bookmarkStart w:name="z186" w:id="17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создания провизий (резервов)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утвержденных указанным постановлением:</w:t>
      </w:r>
    </w:p>
    <w:bookmarkEnd w:id="1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188" w:id="172"/>
    <w:p>
      <w:pPr>
        <w:spacing w:after="0"/>
        <w:ind w:left="0"/>
        <w:jc w:val="both"/>
      </w:pPr>
      <w:r>
        <w:rPr>
          <w:rFonts w:ascii="Times New Roman"/>
          <w:b w:val="false"/>
          <w:i w:val="false"/>
          <w:color w:val="000000"/>
          <w:sz w:val="28"/>
        </w:rPr>
        <w:t>
      "2. В Правилах используются следующие понятия:</w:t>
      </w:r>
    </w:p>
    <w:bookmarkEnd w:id="172"/>
    <w:bookmarkStart w:name="z189" w:id="173"/>
    <w:p>
      <w:pPr>
        <w:spacing w:after="0"/>
        <w:ind w:left="0"/>
        <w:jc w:val="both"/>
      </w:pPr>
      <w:r>
        <w:rPr>
          <w:rFonts w:ascii="Times New Roman"/>
          <w:b w:val="false"/>
          <w:i w:val="false"/>
          <w:color w:val="000000"/>
          <w:sz w:val="28"/>
        </w:rPr>
        <w:t>
      1) недополучение денег – разница между денежными потоками, причитающимися финансовой организации в соответствии с договором, и денежными потоками, которые финансовая организация ожидает получить;</w:t>
      </w:r>
    </w:p>
    <w:bookmarkEnd w:id="173"/>
    <w:bookmarkStart w:name="z190" w:id="174"/>
    <w:p>
      <w:pPr>
        <w:spacing w:after="0"/>
        <w:ind w:left="0"/>
        <w:jc w:val="both"/>
      </w:pPr>
      <w:r>
        <w:rPr>
          <w:rFonts w:ascii="Times New Roman"/>
          <w:b w:val="false"/>
          <w:i w:val="false"/>
          <w:color w:val="000000"/>
          <w:sz w:val="28"/>
        </w:rPr>
        <w:t>
      2) задолженность - сумма непогашенного заемщиком требования в виде основного долга, начисленного вознаграждения и (или) иных выплат в соответствии с условиями договора займа;</w:t>
      </w:r>
    </w:p>
    <w:bookmarkEnd w:id="174"/>
    <w:bookmarkStart w:name="z191" w:id="175"/>
    <w:p>
      <w:pPr>
        <w:spacing w:after="0"/>
        <w:ind w:left="0"/>
        <w:jc w:val="both"/>
      </w:pPr>
      <w:r>
        <w:rPr>
          <w:rFonts w:ascii="Times New Roman"/>
          <w:b w:val="false"/>
          <w:i w:val="false"/>
          <w:color w:val="000000"/>
          <w:sz w:val="28"/>
        </w:rPr>
        <w:t>
      3) однородные финансовые активы – группа финансовых активов со сходными характеристиками кредитного риска;</w:t>
      </w:r>
    </w:p>
    <w:bookmarkEnd w:id="175"/>
    <w:bookmarkStart w:name="z192" w:id="176"/>
    <w:p>
      <w:pPr>
        <w:spacing w:after="0"/>
        <w:ind w:left="0"/>
        <w:jc w:val="both"/>
      </w:pPr>
      <w:r>
        <w:rPr>
          <w:rFonts w:ascii="Times New Roman"/>
          <w:b w:val="false"/>
          <w:i w:val="false"/>
          <w:color w:val="000000"/>
          <w:sz w:val="28"/>
        </w:rPr>
        <w:t>
      4) дефолт – наличие просроченного (просроченных) платежа (платежей) сроком более 90 (девяноста) календарных дней, либо наличие одной или более ситуаций, предусмотренных настоящим подпунктом. Для целей определения дефолта финансовая организация принимает следующие ситуации:</w:t>
      </w:r>
    </w:p>
    <w:bookmarkEnd w:id="176"/>
    <w:bookmarkStart w:name="z193" w:id="177"/>
    <w:p>
      <w:pPr>
        <w:spacing w:after="0"/>
        <w:ind w:left="0"/>
        <w:jc w:val="both"/>
      </w:pPr>
      <w:r>
        <w:rPr>
          <w:rFonts w:ascii="Times New Roman"/>
          <w:b w:val="false"/>
          <w:i w:val="false"/>
          <w:color w:val="000000"/>
          <w:sz w:val="28"/>
        </w:rPr>
        <w:t>
      наличие просроченной задолженности сроком более 90 (девяноста) дней по другим займам заемщика в банке;</w:t>
      </w:r>
    </w:p>
    <w:bookmarkEnd w:id="177"/>
    <w:bookmarkStart w:name="z194" w:id="178"/>
    <w:p>
      <w:pPr>
        <w:spacing w:after="0"/>
        <w:ind w:left="0"/>
        <w:jc w:val="both"/>
      </w:pPr>
      <w:r>
        <w:rPr>
          <w:rFonts w:ascii="Times New Roman"/>
          <w:b w:val="false"/>
          <w:i w:val="false"/>
          <w:color w:val="000000"/>
          <w:sz w:val="28"/>
        </w:rPr>
        <w:t>
      наличие просроченной задолженности сроком более 90 (девяноста) дней по займам в других банках, как показатель ухудшения финансового состояния заемщика;</w:t>
      </w:r>
    </w:p>
    <w:bookmarkEnd w:id="178"/>
    <w:bookmarkStart w:name="z195" w:id="179"/>
    <w:p>
      <w:pPr>
        <w:spacing w:after="0"/>
        <w:ind w:left="0"/>
        <w:jc w:val="both"/>
      </w:pPr>
      <w:r>
        <w:rPr>
          <w:rFonts w:ascii="Times New Roman"/>
          <w:b w:val="false"/>
          <w:i w:val="false"/>
          <w:color w:val="000000"/>
          <w:sz w:val="28"/>
        </w:rPr>
        <w:t>
      приостановление начисления вознаграждения по займу в связи с ухудшением финансового состояния заемщика;</w:t>
      </w:r>
    </w:p>
    <w:bookmarkEnd w:id="179"/>
    <w:bookmarkStart w:name="z196" w:id="180"/>
    <w:p>
      <w:pPr>
        <w:spacing w:after="0"/>
        <w:ind w:left="0"/>
        <w:jc w:val="both"/>
      </w:pPr>
      <w:r>
        <w:rPr>
          <w:rFonts w:ascii="Times New Roman"/>
          <w:b w:val="false"/>
          <w:i w:val="false"/>
          <w:color w:val="000000"/>
          <w:sz w:val="28"/>
        </w:rPr>
        <w:t>
      списание части и (или) всей суммы задолженности заемщика, которое вызвано значительным увеличением кредитного риска с момента предоставления займа;</w:t>
      </w:r>
    </w:p>
    <w:bookmarkEnd w:id="180"/>
    <w:bookmarkStart w:name="z197" w:id="181"/>
    <w:p>
      <w:pPr>
        <w:spacing w:after="0"/>
        <w:ind w:left="0"/>
        <w:jc w:val="both"/>
      </w:pPr>
      <w:r>
        <w:rPr>
          <w:rFonts w:ascii="Times New Roman"/>
          <w:b w:val="false"/>
          <w:i w:val="false"/>
          <w:color w:val="000000"/>
          <w:sz w:val="28"/>
        </w:rPr>
        <w:t>
      продажа займов со значительным дисконтом;</w:t>
      </w:r>
    </w:p>
    <w:bookmarkEnd w:id="181"/>
    <w:bookmarkStart w:name="z198" w:id="182"/>
    <w:p>
      <w:pPr>
        <w:spacing w:after="0"/>
        <w:ind w:left="0"/>
        <w:jc w:val="both"/>
      </w:pPr>
      <w:r>
        <w:rPr>
          <w:rFonts w:ascii="Times New Roman"/>
          <w:b w:val="false"/>
          <w:i w:val="false"/>
          <w:color w:val="000000"/>
          <w:sz w:val="28"/>
        </w:rPr>
        <w:t>
      вынужденная реструктуризация займа;</w:t>
      </w:r>
    </w:p>
    <w:bookmarkEnd w:id="182"/>
    <w:bookmarkStart w:name="z199" w:id="183"/>
    <w:p>
      <w:pPr>
        <w:spacing w:after="0"/>
        <w:ind w:left="0"/>
        <w:jc w:val="both"/>
      </w:pPr>
      <w:r>
        <w:rPr>
          <w:rFonts w:ascii="Times New Roman"/>
          <w:b w:val="false"/>
          <w:i w:val="false"/>
          <w:color w:val="000000"/>
          <w:sz w:val="28"/>
        </w:rPr>
        <w:t xml:space="preserve">
      подача иска о признании заемщика банкротом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и банкротстве" (далее – Закон о реабилитации и банкротстве);</w:t>
      </w:r>
    </w:p>
    <w:bookmarkEnd w:id="183"/>
    <w:bookmarkStart w:name="z200" w:id="184"/>
    <w:p>
      <w:pPr>
        <w:spacing w:after="0"/>
        <w:ind w:left="0"/>
        <w:jc w:val="both"/>
      </w:pPr>
      <w:r>
        <w:rPr>
          <w:rFonts w:ascii="Times New Roman"/>
          <w:b w:val="false"/>
          <w:i w:val="false"/>
          <w:color w:val="000000"/>
          <w:sz w:val="28"/>
        </w:rPr>
        <w:t xml:space="preserve">
      обращение заемщика в суд с заявлением о признании его банкротом в соответствии с </w:t>
      </w:r>
      <w:r>
        <w:rPr>
          <w:rFonts w:ascii="Times New Roman"/>
          <w:b w:val="false"/>
          <w:i w:val="false"/>
          <w:color w:val="000000"/>
          <w:sz w:val="28"/>
        </w:rPr>
        <w:t>Законом о реабилитации и банкротстве</w:t>
      </w:r>
      <w:r>
        <w:rPr>
          <w:rFonts w:ascii="Times New Roman"/>
          <w:b w:val="false"/>
          <w:i w:val="false"/>
          <w:color w:val="000000"/>
          <w:sz w:val="28"/>
        </w:rPr>
        <w:t>;</w:t>
      </w:r>
    </w:p>
    <w:bookmarkEnd w:id="184"/>
    <w:bookmarkStart w:name="z201" w:id="185"/>
    <w:p>
      <w:pPr>
        <w:spacing w:after="0"/>
        <w:ind w:left="0"/>
        <w:jc w:val="both"/>
      </w:pPr>
      <w:r>
        <w:rPr>
          <w:rFonts w:ascii="Times New Roman"/>
          <w:b w:val="false"/>
          <w:i w:val="false"/>
          <w:color w:val="000000"/>
          <w:sz w:val="28"/>
        </w:rPr>
        <w:t>
      иные ситуации, соответствующие международному стандарту финансовой отчетности 9 "Финансовые инструменты" (далее – МСФО 9) и предусмотренные Методикой расчета провизий (резервов), утвержденной в соответствии с Правилами;</w:t>
      </w:r>
    </w:p>
    <w:bookmarkEnd w:id="185"/>
    <w:bookmarkStart w:name="z202" w:id="186"/>
    <w:p>
      <w:pPr>
        <w:spacing w:after="0"/>
        <w:ind w:left="0"/>
        <w:jc w:val="both"/>
      </w:pPr>
      <w:r>
        <w:rPr>
          <w:rFonts w:ascii="Times New Roman"/>
          <w:b w:val="false"/>
          <w:i w:val="false"/>
          <w:color w:val="000000"/>
          <w:sz w:val="28"/>
        </w:rPr>
        <w:t>
      5) индивидуальный финансовый актив – финансовый актив, валовая балансовая стоимость которого на отчетную дату превышает 0,2 (ноль целых две десятых) процента от собственного капитала согласно данным финансовой отчетности, но не менее пятидесяти миллионов тенге, или финансовый актив, который представляет собой требование к взаимосвязанной стороне.</w:t>
      </w:r>
    </w:p>
    <w:bookmarkEnd w:id="186"/>
    <w:bookmarkStart w:name="z203" w:id="187"/>
    <w:p>
      <w:pPr>
        <w:spacing w:after="0"/>
        <w:ind w:left="0"/>
        <w:jc w:val="both"/>
      </w:pPr>
      <w:r>
        <w:rPr>
          <w:rFonts w:ascii="Times New Roman"/>
          <w:b w:val="false"/>
          <w:i w:val="false"/>
          <w:color w:val="000000"/>
          <w:sz w:val="28"/>
        </w:rPr>
        <w:t>
      Допускается установление финансовой организацией в дополнение к критериям, предусмотренным настоящим подпунктом, дополнительных критериев для отнесения финансового актива к индивидуальным.</w:t>
      </w:r>
    </w:p>
    <w:bookmarkEnd w:id="187"/>
    <w:bookmarkStart w:name="z204" w:id="188"/>
    <w:p>
      <w:pPr>
        <w:spacing w:after="0"/>
        <w:ind w:left="0"/>
        <w:jc w:val="both"/>
      </w:pPr>
      <w:r>
        <w:rPr>
          <w:rFonts w:ascii="Times New Roman"/>
          <w:b w:val="false"/>
          <w:i w:val="false"/>
          <w:color w:val="000000"/>
          <w:sz w:val="28"/>
        </w:rPr>
        <w:t>
      Допускается определение финансовой организацией иного соотношения валовой балансовой стоимости финансового актива к собственному капиталу, но не более 0,2 (ноль целых две десятых) процента от собственного капитала.</w:t>
      </w:r>
    </w:p>
    <w:bookmarkEnd w:id="188"/>
    <w:bookmarkStart w:name="z205" w:id="189"/>
    <w:p>
      <w:pPr>
        <w:spacing w:after="0"/>
        <w:ind w:left="0"/>
        <w:jc w:val="both"/>
      </w:pPr>
      <w:r>
        <w:rPr>
          <w:rFonts w:ascii="Times New Roman"/>
          <w:b w:val="false"/>
          <w:i w:val="false"/>
          <w:color w:val="000000"/>
          <w:sz w:val="28"/>
        </w:rPr>
        <w:t>
      Для филиалов банков-нерезидентов Республики Казахстан под собственным капиталом подразумевается сумма счета головного офиса, резервов и результатов деятельности филиала банка-нерезидента Республики Казахстан;</w:t>
      </w:r>
    </w:p>
    <w:bookmarkEnd w:id="189"/>
    <w:bookmarkStart w:name="z206" w:id="190"/>
    <w:p>
      <w:pPr>
        <w:spacing w:after="0"/>
        <w:ind w:left="0"/>
        <w:jc w:val="both"/>
      </w:pPr>
      <w:r>
        <w:rPr>
          <w:rFonts w:ascii="Times New Roman"/>
          <w:b w:val="false"/>
          <w:i w:val="false"/>
          <w:color w:val="000000"/>
          <w:sz w:val="28"/>
        </w:rPr>
        <w:t>
      6) контрагент – лицо по договору, не являющееся финансовой организацией, которая по этому договору формирует провизии (резервы);</w:t>
      </w:r>
    </w:p>
    <w:bookmarkEnd w:id="190"/>
    <w:bookmarkStart w:name="z207" w:id="191"/>
    <w:p>
      <w:pPr>
        <w:spacing w:after="0"/>
        <w:ind w:left="0"/>
        <w:jc w:val="both"/>
      </w:pPr>
      <w:r>
        <w:rPr>
          <w:rFonts w:ascii="Times New Roman"/>
          <w:b w:val="false"/>
          <w:i w:val="false"/>
          <w:color w:val="000000"/>
          <w:sz w:val="28"/>
        </w:rPr>
        <w:t>
      7) кредитно-обесцененный финансовый актив – финансовый актив, по которому выявлены признаки обесценения, соответствующие критериям МСФО 9;</w:t>
      </w:r>
    </w:p>
    <w:bookmarkEnd w:id="191"/>
    <w:bookmarkStart w:name="z208" w:id="192"/>
    <w:p>
      <w:pPr>
        <w:spacing w:after="0"/>
        <w:ind w:left="0"/>
        <w:jc w:val="both"/>
      </w:pPr>
      <w:r>
        <w:rPr>
          <w:rFonts w:ascii="Times New Roman"/>
          <w:b w:val="false"/>
          <w:i w:val="false"/>
          <w:color w:val="000000"/>
          <w:sz w:val="28"/>
        </w:rPr>
        <w:t>
      8) кредитный скоринг – оценка кредитоспособности заемщика, основанная на качественных и количественных характеристиках;</w:t>
      </w:r>
    </w:p>
    <w:bookmarkEnd w:id="192"/>
    <w:bookmarkStart w:name="z209" w:id="193"/>
    <w:p>
      <w:pPr>
        <w:spacing w:after="0"/>
        <w:ind w:left="0"/>
        <w:jc w:val="both"/>
      </w:pPr>
      <w:r>
        <w:rPr>
          <w:rFonts w:ascii="Times New Roman"/>
          <w:b w:val="false"/>
          <w:i w:val="false"/>
          <w:color w:val="000000"/>
          <w:sz w:val="28"/>
        </w:rPr>
        <w:t>
      9) амортизированная стоимость финансового актива – сумма, в которой оценивается финансовый актив при первоначальном признании, минус платежи в счет основной суммы долга, плюс (минус) величина накопленной амортизации дисконта (премии), рассчитанной с использованием метода эффективной процентной ставки, и скорректированная с учетом оценочного резерва под убытки;</w:t>
      </w:r>
    </w:p>
    <w:bookmarkEnd w:id="193"/>
    <w:bookmarkStart w:name="z210" w:id="194"/>
    <w:p>
      <w:pPr>
        <w:spacing w:after="0"/>
        <w:ind w:left="0"/>
        <w:jc w:val="both"/>
      </w:pPr>
      <w:r>
        <w:rPr>
          <w:rFonts w:ascii="Times New Roman"/>
          <w:b w:val="false"/>
          <w:i w:val="false"/>
          <w:color w:val="000000"/>
          <w:sz w:val="28"/>
        </w:rPr>
        <w:t>
      10) валовая балансовая стоимость финансового актива – амортизированная стоимость финансового актива до корректировки на величину оценочного резерва под убытки;</w:t>
      </w:r>
    </w:p>
    <w:bookmarkEnd w:id="194"/>
    <w:bookmarkStart w:name="z211" w:id="195"/>
    <w:p>
      <w:pPr>
        <w:spacing w:after="0"/>
        <w:ind w:left="0"/>
        <w:jc w:val="both"/>
      </w:pPr>
      <w:r>
        <w:rPr>
          <w:rFonts w:ascii="Times New Roman"/>
          <w:b w:val="false"/>
          <w:i w:val="false"/>
          <w:color w:val="000000"/>
          <w:sz w:val="28"/>
        </w:rPr>
        <w:t>
      11) реструктуризация займа - любое изменение порядка и условий договора займа;</w:t>
      </w:r>
    </w:p>
    <w:bookmarkEnd w:id="195"/>
    <w:bookmarkStart w:name="z212" w:id="196"/>
    <w:p>
      <w:pPr>
        <w:spacing w:after="0"/>
        <w:ind w:left="0"/>
        <w:jc w:val="both"/>
      </w:pPr>
      <w:r>
        <w:rPr>
          <w:rFonts w:ascii="Times New Roman"/>
          <w:b w:val="false"/>
          <w:i w:val="false"/>
          <w:color w:val="000000"/>
          <w:sz w:val="28"/>
        </w:rPr>
        <w:t>
      12) вынужденная реструктуризация - реструктуризация и одно из следующего:</w:t>
      </w:r>
    </w:p>
    <w:bookmarkEnd w:id="196"/>
    <w:bookmarkStart w:name="z213" w:id="197"/>
    <w:p>
      <w:pPr>
        <w:spacing w:after="0"/>
        <w:ind w:left="0"/>
        <w:jc w:val="both"/>
      </w:pPr>
      <w:r>
        <w:rPr>
          <w:rFonts w:ascii="Times New Roman"/>
          <w:b w:val="false"/>
          <w:i w:val="false"/>
          <w:color w:val="000000"/>
          <w:sz w:val="28"/>
        </w:rPr>
        <w:t>
      предоставление либо продление льготного периода по платежам основного долга и (или) вознаграждения на срок более 60 (шестидесяти) календарных дней приведет к снижению чистой приведенной стоимости будущих денежных потоков более чем на 10 (десять) процентов;</w:t>
      </w:r>
    </w:p>
    <w:bookmarkEnd w:id="197"/>
    <w:bookmarkStart w:name="z214" w:id="198"/>
    <w:p>
      <w:pPr>
        <w:spacing w:after="0"/>
        <w:ind w:left="0"/>
        <w:jc w:val="both"/>
      </w:pPr>
      <w:r>
        <w:rPr>
          <w:rFonts w:ascii="Times New Roman"/>
          <w:b w:val="false"/>
          <w:i w:val="false"/>
          <w:color w:val="000000"/>
          <w:sz w:val="28"/>
        </w:rPr>
        <w:t>
      продление срока кредита - отсрочка одного или нескольких платежей по кредиту на срок более 60 (шестидесяти) календарных дней приведет к снижению чистой приведенной стоимости будущих денежных потоков более чем на 10 (десять) процентов;</w:t>
      </w:r>
    </w:p>
    <w:bookmarkEnd w:id="198"/>
    <w:bookmarkStart w:name="z215" w:id="199"/>
    <w:p>
      <w:pPr>
        <w:spacing w:after="0"/>
        <w:ind w:left="0"/>
        <w:jc w:val="both"/>
      </w:pPr>
      <w:r>
        <w:rPr>
          <w:rFonts w:ascii="Times New Roman"/>
          <w:b w:val="false"/>
          <w:i w:val="false"/>
          <w:color w:val="000000"/>
          <w:sz w:val="28"/>
        </w:rPr>
        <w:t>
      списание или прощение части основного долга и (или) вознаграждения по займу;</w:t>
      </w:r>
    </w:p>
    <w:bookmarkEnd w:id="199"/>
    <w:bookmarkStart w:name="z216" w:id="200"/>
    <w:p>
      <w:pPr>
        <w:spacing w:after="0"/>
        <w:ind w:left="0"/>
        <w:jc w:val="both"/>
      </w:pPr>
      <w:r>
        <w:rPr>
          <w:rFonts w:ascii="Times New Roman"/>
          <w:b w:val="false"/>
          <w:i w:val="false"/>
          <w:color w:val="000000"/>
          <w:sz w:val="28"/>
        </w:rPr>
        <w:t>
      капитализация просроченных платежей по вознаграждению;</w:t>
      </w:r>
    </w:p>
    <w:bookmarkEnd w:id="200"/>
    <w:bookmarkStart w:name="z217" w:id="201"/>
    <w:p>
      <w:pPr>
        <w:spacing w:after="0"/>
        <w:ind w:left="0"/>
        <w:jc w:val="both"/>
      </w:pPr>
      <w:r>
        <w:rPr>
          <w:rFonts w:ascii="Times New Roman"/>
          <w:b w:val="false"/>
          <w:i w:val="false"/>
          <w:color w:val="000000"/>
          <w:sz w:val="28"/>
        </w:rPr>
        <w:t>
      изменение (конвертация) валюты займа с одной валюты на другую с капитализацией просроченной задолженности по вознаграждению;</w:t>
      </w:r>
    </w:p>
    <w:bookmarkEnd w:id="201"/>
    <w:bookmarkStart w:name="z218" w:id="202"/>
    <w:p>
      <w:pPr>
        <w:spacing w:after="0"/>
        <w:ind w:left="0"/>
        <w:jc w:val="both"/>
      </w:pPr>
      <w:r>
        <w:rPr>
          <w:rFonts w:ascii="Times New Roman"/>
          <w:b w:val="false"/>
          <w:i w:val="false"/>
          <w:color w:val="000000"/>
          <w:sz w:val="28"/>
        </w:rPr>
        <w:t>
      предоставление нового займа для оплаты просроченной и (или) непросроченной задолженности по займу в банке;</w:t>
      </w:r>
    </w:p>
    <w:bookmarkEnd w:id="202"/>
    <w:bookmarkStart w:name="z219" w:id="203"/>
    <w:p>
      <w:pPr>
        <w:spacing w:after="0"/>
        <w:ind w:left="0"/>
        <w:jc w:val="both"/>
      </w:pPr>
      <w:r>
        <w:rPr>
          <w:rFonts w:ascii="Times New Roman"/>
          <w:b w:val="false"/>
          <w:i w:val="false"/>
          <w:color w:val="000000"/>
          <w:sz w:val="28"/>
        </w:rPr>
        <w:t>
      увеличение кредитного лимита в случае наличия просроченной задолженности по займу;</w:t>
      </w:r>
    </w:p>
    <w:bookmarkEnd w:id="203"/>
    <w:bookmarkStart w:name="z220" w:id="204"/>
    <w:p>
      <w:pPr>
        <w:spacing w:after="0"/>
        <w:ind w:left="0"/>
        <w:jc w:val="both"/>
      </w:pPr>
      <w:r>
        <w:rPr>
          <w:rFonts w:ascii="Times New Roman"/>
          <w:b w:val="false"/>
          <w:i w:val="false"/>
          <w:color w:val="000000"/>
          <w:sz w:val="28"/>
        </w:rPr>
        <w:t>
      снижение задолженности по займу в результате погашения суммы задолженности, за счет передаваемого финансовой организации залогового имущества заемщика;</w:t>
      </w:r>
    </w:p>
    <w:bookmarkEnd w:id="204"/>
    <w:bookmarkStart w:name="z221" w:id="205"/>
    <w:p>
      <w:pPr>
        <w:spacing w:after="0"/>
        <w:ind w:left="0"/>
        <w:jc w:val="both"/>
      </w:pPr>
      <w:r>
        <w:rPr>
          <w:rFonts w:ascii="Times New Roman"/>
          <w:b w:val="false"/>
          <w:i w:val="false"/>
          <w:color w:val="000000"/>
          <w:sz w:val="28"/>
        </w:rPr>
        <w:t>
      наличие ухудшения финансового состояния заемщика в соответствии с внутренней рейтинговой моделью;</w:t>
      </w:r>
    </w:p>
    <w:bookmarkEnd w:id="205"/>
    <w:bookmarkStart w:name="z222" w:id="206"/>
    <w:p>
      <w:pPr>
        <w:spacing w:after="0"/>
        <w:ind w:left="0"/>
        <w:jc w:val="both"/>
      </w:pPr>
      <w:r>
        <w:rPr>
          <w:rFonts w:ascii="Times New Roman"/>
          <w:b w:val="false"/>
          <w:i w:val="false"/>
          <w:color w:val="000000"/>
          <w:sz w:val="28"/>
        </w:rPr>
        <w:t>
      финансовая организация прогнозирует, что денежные потоки заемщика будут недостаточны для покрытия договорных обязательств перед финансовой организацией (включая основной долг и вознаграждение);</w:t>
      </w:r>
    </w:p>
    <w:bookmarkEnd w:id="206"/>
    <w:bookmarkStart w:name="z223" w:id="207"/>
    <w:p>
      <w:pPr>
        <w:spacing w:after="0"/>
        <w:ind w:left="0"/>
        <w:jc w:val="both"/>
      </w:pPr>
      <w:r>
        <w:rPr>
          <w:rFonts w:ascii="Times New Roman"/>
          <w:b w:val="false"/>
          <w:i w:val="false"/>
          <w:color w:val="000000"/>
          <w:sz w:val="28"/>
        </w:rPr>
        <w:t>
      наличие просроченной задолженности по основному долгу и (или) вознаграждению сроком более 30 (тридцати) календарных дней;</w:t>
      </w:r>
    </w:p>
    <w:bookmarkEnd w:id="207"/>
    <w:bookmarkStart w:name="z224" w:id="208"/>
    <w:p>
      <w:pPr>
        <w:spacing w:after="0"/>
        <w:ind w:left="0"/>
        <w:jc w:val="both"/>
      </w:pPr>
      <w:r>
        <w:rPr>
          <w:rFonts w:ascii="Times New Roman"/>
          <w:b w:val="false"/>
          <w:i w:val="false"/>
          <w:color w:val="000000"/>
          <w:sz w:val="28"/>
        </w:rPr>
        <w:t>
      у заемщика отсутствуют просроченные обязательства и у финансовой организации имеется обоснованная и подтверждаемая информация о том, что заемщик допустит нарушение сроков оплаты по своим обязательствам без предоставления ему льготных условий по займу;</w:t>
      </w:r>
    </w:p>
    <w:bookmarkEnd w:id="208"/>
    <w:bookmarkStart w:name="z225" w:id="209"/>
    <w:p>
      <w:pPr>
        <w:spacing w:after="0"/>
        <w:ind w:left="0"/>
        <w:jc w:val="both"/>
      </w:pPr>
      <w:r>
        <w:rPr>
          <w:rFonts w:ascii="Times New Roman"/>
          <w:b w:val="false"/>
          <w:i w:val="false"/>
          <w:color w:val="000000"/>
          <w:sz w:val="28"/>
        </w:rPr>
        <w:t>
      перевод части долга заемщика, который содержит признаки обесценения;</w:t>
      </w:r>
    </w:p>
    <w:bookmarkEnd w:id="209"/>
    <w:bookmarkStart w:name="z226" w:id="210"/>
    <w:p>
      <w:pPr>
        <w:spacing w:after="0"/>
        <w:ind w:left="0"/>
        <w:jc w:val="both"/>
      </w:pPr>
      <w:r>
        <w:rPr>
          <w:rFonts w:ascii="Times New Roman"/>
          <w:b w:val="false"/>
          <w:i w:val="false"/>
          <w:color w:val="000000"/>
          <w:sz w:val="28"/>
        </w:rPr>
        <w:t>
      рефинансирование просроченной задолженности за исключением случаев, когда снижается долговая нагрузка заемщика по займу в финансовой организации, в том числе в других финансовых организациях;</w:t>
      </w:r>
    </w:p>
    <w:bookmarkEnd w:id="210"/>
    <w:bookmarkStart w:name="z227" w:id="211"/>
    <w:p>
      <w:pPr>
        <w:spacing w:after="0"/>
        <w:ind w:left="0"/>
        <w:jc w:val="both"/>
      </w:pPr>
      <w:r>
        <w:rPr>
          <w:rFonts w:ascii="Times New Roman"/>
          <w:b w:val="false"/>
          <w:i w:val="false"/>
          <w:color w:val="000000"/>
          <w:sz w:val="28"/>
        </w:rPr>
        <w:t>
      снижение процентной ставки ниже базовой ставки Национального Банка Республики Казахстан (в национальной валюте) с момента последней реструктуризации или выдачи займа, в связи с ухудшением финансового состояния заемщика в соответствии с внутренними нормативными документами банка;</w:t>
      </w:r>
    </w:p>
    <w:bookmarkEnd w:id="211"/>
    <w:bookmarkStart w:name="z228" w:id="212"/>
    <w:p>
      <w:pPr>
        <w:spacing w:after="0"/>
        <w:ind w:left="0"/>
        <w:jc w:val="both"/>
      </w:pPr>
      <w:r>
        <w:rPr>
          <w:rFonts w:ascii="Times New Roman"/>
          <w:b w:val="false"/>
          <w:i w:val="false"/>
          <w:color w:val="000000"/>
          <w:sz w:val="28"/>
        </w:rPr>
        <w:t>
      нецелевое использование кредита в размере более 25 (двадцати пяти) процентов от размера кредитной линии, за исключением случаев финансирования на пополнение оборотных средств;</w:t>
      </w:r>
    </w:p>
    <w:bookmarkEnd w:id="212"/>
    <w:bookmarkStart w:name="z229" w:id="213"/>
    <w:p>
      <w:pPr>
        <w:spacing w:after="0"/>
        <w:ind w:left="0"/>
        <w:jc w:val="both"/>
      </w:pPr>
      <w:r>
        <w:rPr>
          <w:rFonts w:ascii="Times New Roman"/>
          <w:b w:val="false"/>
          <w:i w:val="false"/>
          <w:color w:val="000000"/>
          <w:sz w:val="28"/>
        </w:rPr>
        <w:t xml:space="preserve">
      в отношении заемщика и (или) лиц, имеющих договорные обязательства с заемщиком по погашению его задолженности, применяются реабилитационные процедуры в соответствии с </w:t>
      </w:r>
      <w:r>
        <w:rPr>
          <w:rFonts w:ascii="Times New Roman"/>
          <w:b w:val="false"/>
          <w:i w:val="false"/>
          <w:color w:val="000000"/>
          <w:sz w:val="28"/>
        </w:rPr>
        <w:t>Законом о реабилитации и банкротстве</w:t>
      </w:r>
      <w:r>
        <w:rPr>
          <w:rFonts w:ascii="Times New Roman"/>
          <w:b w:val="false"/>
          <w:i w:val="false"/>
          <w:color w:val="000000"/>
          <w:sz w:val="28"/>
        </w:rPr>
        <w:t>;</w:t>
      </w:r>
    </w:p>
    <w:bookmarkEnd w:id="213"/>
    <w:bookmarkStart w:name="z230" w:id="214"/>
    <w:p>
      <w:pPr>
        <w:spacing w:after="0"/>
        <w:ind w:left="0"/>
        <w:jc w:val="both"/>
      </w:pPr>
      <w:r>
        <w:rPr>
          <w:rFonts w:ascii="Times New Roman"/>
          <w:b w:val="false"/>
          <w:i w:val="false"/>
          <w:color w:val="000000"/>
          <w:sz w:val="28"/>
        </w:rPr>
        <w:t>
      обращение заемщика за реструктуризацией в связи с форс-мажорными и (или) иными обстоятельствами, в результате которых утерян актив заемщика, за счет которого заемщик обслуживал свои обязательства перед финансовой организацией.</w:t>
      </w:r>
    </w:p>
    <w:bookmarkEnd w:id="214"/>
    <w:bookmarkStart w:name="z231" w:id="215"/>
    <w:p>
      <w:pPr>
        <w:spacing w:after="0"/>
        <w:ind w:left="0"/>
        <w:jc w:val="both"/>
      </w:pPr>
      <w:r>
        <w:rPr>
          <w:rFonts w:ascii="Times New Roman"/>
          <w:b w:val="false"/>
          <w:i w:val="false"/>
          <w:color w:val="000000"/>
          <w:sz w:val="28"/>
        </w:rPr>
        <w:t>
      Реструктуризация займа не является вынужденной в следующих случаях:</w:t>
      </w:r>
    </w:p>
    <w:bookmarkEnd w:id="215"/>
    <w:bookmarkStart w:name="z232" w:id="216"/>
    <w:p>
      <w:pPr>
        <w:spacing w:after="0"/>
        <w:ind w:left="0"/>
        <w:jc w:val="both"/>
      </w:pPr>
      <w:r>
        <w:rPr>
          <w:rFonts w:ascii="Times New Roman"/>
          <w:b w:val="false"/>
          <w:i w:val="false"/>
          <w:color w:val="000000"/>
          <w:sz w:val="28"/>
        </w:rPr>
        <w:t>
      списание, прощение, отсрочка, пролонгация, изменение валюты, графика погашения, ставки вознаграждения по займу проведено в рамках требований целевых государственных программ, в том числе снижение ставки вознаграждения на рыночных условиях;</w:t>
      </w:r>
    </w:p>
    <w:bookmarkEnd w:id="216"/>
    <w:bookmarkStart w:name="z233" w:id="217"/>
    <w:p>
      <w:pPr>
        <w:spacing w:after="0"/>
        <w:ind w:left="0"/>
        <w:jc w:val="both"/>
      </w:pPr>
      <w:r>
        <w:rPr>
          <w:rFonts w:ascii="Times New Roman"/>
          <w:b w:val="false"/>
          <w:i w:val="false"/>
          <w:color w:val="000000"/>
          <w:sz w:val="28"/>
        </w:rPr>
        <w:t>
      частичное досрочное погашение задолженности, изменение даты планового платежа (включая сроки займа) в течение месяца, сокращение срока займа, изменение метода погашения, изменение размера базового показателя по займу с плавающей ставкой вознаграждения, перенос даты платежа в рамках того же месяца менее чем на 30 (тридцать) календарных дней, если это предусмотрено условиями договора, государственных программ;</w:t>
      </w:r>
    </w:p>
    <w:bookmarkEnd w:id="217"/>
    <w:bookmarkStart w:name="z234" w:id="218"/>
    <w:p>
      <w:pPr>
        <w:spacing w:after="0"/>
        <w:ind w:left="0"/>
        <w:jc w:val="both"/>
      </w:pPr>
      <w:r>
        <w:rPr>
          <w:rFonts w:ascii="Times New Roman"/>
          <w:b w:val="false"/>
          <w:i w:val="false"/>
          <w:color w:val="000000"/>
          <w:sz w:val="28"/>
        </w:rPr>
        <w:t>
      отсрочка платежа произведена по займу лица, отнесенного к категории пострадавших от паводков согласно спискам местных исполнительных органов Республики Казахстан, а также пострадавших в результате обстоятельств, послуживших основанием для введения чрезвычайного положения на территории одной или нескольких административно-территориальных единиц Республики Казахстан.</w:t>
      </w:r>
    </w:p>
    <w:bookmarkEnd w:id="218"/>
    <w:bookmarkStart w:name="z235" w:id="219"/>
    <w:p>
      <w:pPr>
        <w:spacing w:after="0"/>
        <w:ind w:left="0"/>
        <w:jc w:val="both"/>
      </w:pPr>
      <w:r>
        <w:rPr>
          <w:rFonts w:ascii="Times New Roman"/>
          <w:b w:val="false"/>
          <w:i w:val="false"/>
          <w:color w:val="000000"/>
          <w:sz w:val="28"/>
        </w:rPr>
        <w:t>
      Тест на обесценение при расчете чистой приведенной стоимости будущих денежных потоков не проводится:</w:t>
      </w:r>
    </w:p>
    <w:bookmarkEnd w:id="219"/>
    <w:bookmarkStart w:name="z236" w:id="220"/>
    <w:p>
      <w:pPr>
        <w:spacing w:after="0"/>
        <w:ind w:left="0"/>
        <w:jc w:val="both"/>
      </w:pPr>
      <w:r>
        <w:rPr>
          <w:rFonts w:ascii="Times New Roman"/>
          <w:b w:val="false"/>
          <w:i w:val="false"/>
          <w:color w:val="000000"/>
          <w:sz w:val="28"/>
        </w:rPr>
        <w:t>
      по займам, отнесенным к категории кредитно-обесцененных финансовых активов;</w:t>
      </w:r>
    </w:p>
    <w:bookmarkEnd w:id="220"/>
    <w:bookmarkStart w:name="z237" w:id="221"/>
    <w:p>
      <w:pPr>
        <w:spacing w:after="0"/>
        <w:ind w:left="0"/>
        <w:jc w:val="both"/>
      </w:pPr>
      <w:r>
        <w:rPr>
          <w:rFonts w:ascii="Times New Roman"/>
          <w:b w:val="false"/>
          <w:i w:val="false"/>
          <w:color w:val="000000"/>
          <w:sz w:val="28"/>
        </w:rPr>
        <w:t>
      по займам, по которым банк по иным причинам принял решение по обесценению таких займов;</w:t>
      </w:r>
    </w:p>
    <w:bookmarkEnd w:id="221"/>
    <w:bookmarkStart w:name="z238" w:id="222"/>
    <w:p>
      <w:pPr>
        <w:spacing w:after="0"/>
        <w:ind w:left="0"/>
        <w:jc w:val="both"/>
      </w:pPr>
      <w:r>
        <w:rPr>
          <w:rFonts w:ascii="Times New Roman"/>
          <w:b w:val="false"/>
          <w:i w:val="false"/>
          <w:color w:val="000000"/>
          <w:sz w:val="28"/>
        </w:rPr>
        <w:t>
      при снижении или повышении процентной ставки по займу в соответствии с изменением базовой ставки Национального Банка Республики Казахстан (в национальной валюте) с момента последней реструктуризации или выдачи займа;</w:t>
      </w:r>
    </w:p>
    <w:bookmarkEnd w:id="222"/>
    <w:bookmarkStart w:name="z239" w:id="223"/>
    <w:p>
      <w:pPr>
        <w:spacing w:after="0"/>
        <w:ind w:left="0"/>
        <w:jc w:val="both"/>
      </w:pPr>
      <w:r>
        <w:rPr>
          <w:rFonts w:ascii="Times New Roman"/>
          <w:b w:val="false"/>
          <w:i w:val="false"/>
          <w:color w:val="000000"/>
          <w:sz w:val="28"/>
        </w:rPr>
        <w:t>
      13) обоснованная и подтверждаемая информация – информация, которая является обоснованно доступной по состоянию на отчетную дату без чрезмерных затрат или усилий, включая информацию о прошлых событиях за период не менее 5 (пяти) лет, текущих качественных и количественных показателях и прогнозах будущих экономических качественных и количественных показателей. При отсутствии информации за период не менее 5 (пяти) лет, обоснованно доступной по состоянию на отчетную дату, допускается использование финансовой организацией информации за более короткий период при условии последующего накопления информации о прошлых событиях за период не менее 5 (пяти) лет. По индивидуальным финансовым активам допускается построение прогнозных потоков на основании мониторинга финансового состояния контрагента за последние 3 (три) года либо менее в случае осуществления финансовой организацией операционной деятельности менее 3 (трех) лет;</w:t>
      </w:r>
    </w:p>
    <w:bookmarkEnd w:id="223"/>
    <w:bookmarkStart w:name="z240" w:id="224"/>
    <w:p>
      <w:pPr>
        <w:spacing w:after="0"/>
        <w:ind w:left="0"/>
        <w:jc w:val="both"/>
      </w:pPr>
      <w:r>
        <w:rPr>
          <w:rFonts w:ascii="Times New Roman"/>
          <w:b w:val="false"/>
          <w:i w:val="false"/>
          <w:color w:val="000000"/>
          <w:sz w:val="28"/>
        </w:rPr>
        <w:t>
      14) провизии (резервы) – оценочный резерв под ожидаемые и имеющиеся кредитные убытки по финансовым активам, учитываемым по амортизированной стоимости финансового актива и по справедливой стоимости через прочий совокупный доход, а также оценочное обязательство в отношении ожидаемых кредитных убытков по условным обязательствам;</w:t>
      </w:r>
    </w:p>
    <w:bookmarkEnd w:id="224"/>
    <w:bookmarkStart w:name="z241" w:id="225"/>
    <w:p>
      <w:pPr>
        <w:spacing w:after="0"/>
        <w:ind w:left="0"/>
        <w:jc w:val="both"/>
      </w:pPr>
      <w:r>
        <w:rPr>
          <w:rFonts w:ascii="Times New Roman"/>
          <w:b w:val="false"/>
          <w:i w:val="false"/>
          <w:color w:val="000000"/>
          <w:sz w:val="28"/>
        </w:rPr>
        <w:t>
      15) приобретенный или созданный кредитно-обесцененный финансовый актив – приобретенный или созданный финансовый актив, по которому имелось подтверждение об обесценении на момент первоначального признания;</w:t>
      </w:r>
    </w:p>
    <w:bookmarkEnd w:id="225"/>
    <w:bookmarkStart w:name="z242" w:id="226"/>
    <w:p>
      <w:pPr>
        <w:spacing w:after="0"/>
        <w:ind w:left="0"/>
        <w:jc w:val="both"/>
      </w:pPr>
      <w:r>
        <w:rPr>
          <w:rFonts w:ascii="Times New Roman"/>
          <w:b w:val="false"/>
          <w:i w:val="false"/>
          <w:color w:val="000000"/>
          <w:sz w:val="28"/>
        </w:rPr>
        <w:t>
      16) уполномоченный орган – уполномоченный орган по регулированию, контролю и надзору финансового рынка и финансовых организаций;</w:t>
      </w:r>
    </w:p>
    <w:bookmarkEnd w:id="226"/>
    <w:bookmarkStart w:name="z243" w:id="227"/>
    <w:p>
      <w:pPr>
        <w:spacing w:after="0"/>
        <w:ind w:left="0"/>
        <w:jc w:val="both"/>
      </w:pPr>
      <w:r>
        <w:rPr>
          <w:rFonts w:ascii="Times New Roman"/>
          <w:b w:val="false"/>
          <w:i w:val="false"/>
          <w:color w:val="000000"/>
          <w:sz w:val="28"/>
        </w:rPr>
        <w:t>
      17) условные обязательства – возможные обязательства по непокрытым аккредитивам, выпущенным или подтвержденным гарантиям;</w:t>
      </w:r>
    </w:p>
    <w:bookmarkEnd w:id="227"/>
    <w:bookmarkStart w:name="z244" w:id="228"/>
    <w:p>
      <w:pPr>
        <w:spacing w:after="0"/>
        <w:ind w:left="0"/>
        <w:jc w:val="both"/>
      </w:pPr>
      <w:r>
        <w:rPr>
          <w:rFonts w:ascii="Times New Roman"/>
          <w:b w:val="false"/>
          <w:i w:val="false"/>
          <w:color w:val="000000"/>
          <w:sz w:val="28"/>
        </w:rPr>
        <w:t>
      18) внутренняя рейтинговая модель – модель оценки кредитоспособности заемщика;</w:t>
      </w:r>
    </w:p>
    <w:bookmarkEnd w:id="228"/>
    <w:bookmarkStart w:name="z245" w:id="229"/>
    <w:p>
      <w:pPr>
        <w:spacing w:after="0"/>
        <w:ind w:left="0"/>
        <w:jc w:val="both"/>
      </w:pPr>
      <w:r>
        <w:rPr>
          <w:rFonts w:ascii="Times New Roman"/>
          <w:b w:val="false"/>
          <w:i w:val="false"/>
          <w:color w:val="000000"/>
          <w:sz w:val="28"/>
        </w:rPr>
        <w:t>
      19) метод "going-concern" – метод оценки на основе принципа "действующего бизнеса", когда ожидается, что заемщик будет продолжать создавать денежные потоки (допущение о непрерывности деятельности);</w:t>
      </w:r>
    </w:p>
    <w:bookmarkEnd w:id="229"/>
    <w:bookmarkStart w:name="z246" w:id="230"/>
    <w:p>
      <w:pPr>
        <w:spacing w:after="0"/>
        <w:ind w:left="0"/>
        <w:jc w:val="both"/>
      </w:pPr>
      <w:r>
        <w:rPr>
          <w:rFonts w:ascii="Times New Roman"/>
          <w:b w:val="false"/>
          <w:i w:val="false"/>
          <w:color w:val="000000"/>
          <w:sz w:val="28"/>
        </w:rPr>
        <w:t>
      20) метод "gone-concern" – метод оценки на основе принципа "ликвидационной стоимости", когда ожидается прекращение операционных денежных потоков заемщика и реализация залогового обеспечения (допущение о нулевых денежных потоках от операционной деятельности).";</w:t>
      </w:r>
    </w:p>
    <w:bookmarkEnd w:id="2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p>
    <w:bookmarkStart w:name="z248" w:id="231"/>
    <w:p>
      <w:pPr>
        <w:spacing w:after="0"/>
        <w:ind w:left="0"/>
        <w:jc w:val="both"/>
      </w:pPr>
      <w:r>
        <w:rPr>
          <w:rFonts w:ascii="Times New Roman"/>
          <w:b w:val="false"/>
          <w:i w:val="false"/>
          <w:color w:val="000000"/>
          <w:sz w:val="28"/>
        </w:rPr>
        <w:t>
      "14. Имеющийся кредитный убыток по индивидуальному кредитно-обесцененному финансовому активу по состоянию на отчетную дату, который не является приобретенным или созданным кредитно-обесцененным финансовым активом, оценивается как разница между валовой балансовой стоимостью финансового актива и приведенной стоимостью будущих денежных потоков, дисконтированных с использованием первоначальной эффективной процентной ставки по финансовому активу и с учетом средневзвешенной вероятности исхода по методу "going-concern" и методу "gone-concern" в сценариях, определенных во внутренних документах финансовой организации.</w:t>
      </w:r>
    </w:p>
    <w:bookmarkEnd w:id="231"/>
    <w:bookmarkStart w:name="z249" w:id="232"/>
    <w:p>
      <w:pPr>
        <w:spacing w:after="0"/>
        <w:ind w:left="0"/>
        <w:jc w:val="both"/>
      </w:pPr>
      <w:r>
        <w:rPr>
          <w:rFonts w:ascii="Times New Roman"/>
          <w:b w:val="false"/>
          <w:i w:val="false"/>
          <w:color w:val="000000"/>
          <w:sz w:val="28"/>
        </w:rPr>
        <w:t>
      Требования к определению сценариев и вероятности исхода по методу "going-concern" и методу "gone-concern", расчету приведенных потоков по сценариям и вероятностям исходов по методу "going-concern" и методу "gone-concern" устанавливаются в Методике расчета провизий (резервов).</w:t>
      </w:r>
    </w:p>
    <w:bookmarkEnd w:id="232"/>
    <w:bookmarkStart w:name="z250" w:id="233"/>
    <w:p>
      <w:pPr>
        <w:spacing w:after="0"/>
        <w:ind w:left="0"/>
        <w:jc w:val="both"/>
      </w:pPr>
      <w:r>
        <w:rPr>
          <w:rFonts w:ascii="Times New Roman"/>
          <w:b w:val="false"/>
          <w:i w:val="false"/>
          <w:color w:val="000000"/>
          <w:sz w:val="28"/>
        </w:rPr>
        <w:t xml:space="preserve">
      Приведенная стоимость будущих денежных потоков и чистая приведенная стоимость будущих денежных потоков рассчитывается по формуле приведенной стоимости будущих денежных потоков или формуле чистой приведенной стоимости будущих денежных потоков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w:t>
      </w:r>
    </w:p>
    <w:bookmarkEnd w:id="2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w:t>
      </w:r>
      <w:r>
        <w:rPr>
          <w:rFonts w:ascii="Times New Roman"/>
          <w:b w:val="false"/>
          <w:i w:val="false"/>
          <w:color w:val="000000"/>
          <w:sz w:val="28"/>
        </w:rPr>
        <w:t xml:space="preserve"> изложить в следующей редакции:</w:t>
      </w:r>
    </w:p>
    <w:bookmarkStart w:name="z252" w:id="234"/>
    <w:p>
      <w:pPr>
        <w:spacing w:after="0"/>
        <w:ind w:left="0"/>
        <w:jc w:val="both"/>
      </w:pPr>
      <w:r>
        <w:rPr>
          <w:rFonts w:ascii="Times New Roman"/>
          <w:b w:val="false"/>
          <w:i w:val="false"/>
          <w:color w:val="000000"/>
          <w:sz w:val="28"/>
        </w:rPr>
        <w:t>
      "17. При расчете ожидаемых кредитных убытков финансовая организация учитывает подтверждаемую информацию о реализации залогового имущества за период не менее двух лет. При отсутствии подтверждаемой информации о реализации залогового имущества для расчета ожидаемых кредитных убытков финансовая организация применяет коэффициенты ликвидности к стоимости обеспечения в следующем порядке:</w:t>
      </w:r>
    </w:p>
    <w:bookmarkEnd w:id="234"/>
    <w:bookmarkStart w:name="z253" w:id="235"/>
    <w:p>
      <w:pPr>
        <w:spacing w:after="0"/>
        <w:ind w:left="0"/>
        <w:jc w:val="both"/>
      </w:pPr>
      <w:r>
        <w:rPr>
          <w:rFonts w:ascii="Times New Roman"/>
          <w:b w:val="false"/>
          <w:i w:val="false"/>
          <w:color w:val="000000"/>
          <w:sz w:val="28"/>
        </w:rPr>
        <w:t>
      1) обеспечение в виде жилой и (или) коммерческой недвижимости, в том числе земельные участки – 0,7;</w:t>
      </w:r>
    </w:p>
    <w:bookmarkEnd w:id="235"/>
    <w:bookmarkStart w:name="z254" w:id="236"/>
    <w:p>
      <w:pPr>
        <w:spacing w:after="0"/>
        <w:ind w:left="0"/>
        <w:jc w:val="both"/>
      </w:pPr>
      <w:r>
        <w:rPr>
          <w:rFonts w:ascii="Times New Roman"/>
          <w:b w:val="false"/>
          <w:i w:val="false"/>
          <w:color w:val="000000"/>
          <w:sz w:val="28"/>
        </w:rPr>
        <w:t>
      2) обеспечение в виде грузовых транспортных средств – 0,5;</w:t>
      </w:r>
    </w:p>
    <w:bookmarkEnd w:id="236"/>
    <w:bookmarkStart w:name="z255" w:id="237"/>
    <w:p>
      <w:pPr>
        <w:spacing w:after="0"/>
        <w:ind w:left="0"/>
        <w:jc w:val="both"/>
      </w:pPr>
      <w:r>
        <w:rPr>
          <w:rFonts w:ascii="Times New Roman"/>
          <w:b w:val="false"/>
          <w:i w:val="false"/>
          <w:color w:val="000000"/>
          <w:sz w:val="28"/>
        </w:rPr>
        <w:t>
      3) обеспечение в виде легковых транспортных средств – 0,6;</w:t>
      </w:r>
    </w:p>
    <w:bookmarkEnd w:id="237"/>
    <w:bookmarkStart w:name="z256" w:id="238"/>
    <w:p>
      <w:pPr>
        <w:spacing w:after="0"/>
        <w:ind w:left="0"/>
        <w:jc w:val="both"/>
      </w:pPr>
      <w:r>
        <w:rPr>
          <w:rFonts w:ascii="Times New Roman"/>
          <w:b w:val="false"/>
          <w:i w:val="false"/>
          <w:color w:val="000000"/>
          <w:sz w:val="28"/>
        </w:rPr>
        <w:t>
      4) обеспечение в виде оборудования – 0,55;</w:t>
      </w:r>
    </w:p>
    <w:bookmarkEnd w:id="238"/>
    <w:bookmarkStart w:name="z257" w:id="239"/>
    <w:p>
      <w:pPr>
        <w:spacing w:after="0"/>
        <w:ind w:left="0"/>
        <w:jc w:val="both"/>
      </w:pPr>
      <w:r>
        <w:rPr>
          <w:rFonts w:ascii="Times New Roman"/>
          <w:b w:val="false"/>
          <w:i w:val="false"/>
          <w:color w:val="000000"/>
          <w:sz w:val="28"/>
        </w:rPr>
        <w:t>
      5) обеспечение в виде товарно-материальных ценностей, продукции, готовой к реализации – 0,4;</w:t>
      </w:r>
    </w:p>
    <w:bookmarkEnd w:id="239"/>
    <w:bookmarkStart w:name="z258" w:id="240"/>
    <w:p>
      <w:pPr>
        <w:spacing w:after="0"/>
        <w:ind w:left="0"/>
        <w:jc w:val="both"/>
      </w:pPr>
      <w:r>
        <w:rPr>
          <w:rFonts w:ascii="Times New Roman"/>
          <w:b w:val="false"/>
          <w:i w:val="false"/>
          <w:color w:val="000000"/>
          <w:sz w:val="28"/>
        </w:rPr>
        <w:t>
      6) обеспечение в виде гарантий физических и (или) юридических лиц, за исключением гарантий, выданных банком второго уровня либо юридическим лицом, имеющим рейтинг не ниже суверенного рейтинга Республики Казахстан рейтингового агентства Standard &amp; Poor's (Стандард энд Пурс) или рейтинг аналогичного уровня одного из других рейтинговых агентств, либо субъектом квазигосударственного сектора – 0;</w:t>
      </w:r>
    </w:p>
    <w:bookmarkEnd w:id="240"/>
    <w:bookmarkStart w:name="z259" w:id="241"/>
    <w:p>
      <w:pPr>
        <w:spacing w:after="0"/>
        <w:ind w:left="0"/>
        <w:jc w:val="both"/>
      </w:pPr>
      <w:r>
        <w:rPr>
          <w:rFonts w:ascii="Times New Roman"/>
          <w:b w:val="false"/>
          <w:i w:val="false"/>
          <w:color w:val="000000"/>
          <w:sz w:val="28"/>
        </w:rPr>
        <w:t>
      7) обеспечение в виде имущества, в том числе в виде денег, поступающего в будущем – 0;</w:t>
      </w:r>
    </w:p>
    <w:bookmarkEnd w:id="241"/>
    <w:bookmarkStart w:name="z260" w:id="242"/>
    <w:p>
      <w:pPr>
        <w:spacing w:after="0"/>
        <w:ind w:left="0"/>
        <w:jc w:val="both"/>
      </w:pPr>
      <w:r>
        <w:rPr>
          <w:rFonts w:ascii="Times New Roman"/>
          <w:b w:val="false"/>
          <w:i w:val="false"/>
          <w:color w:val="000000"/>
          <w:sz w:val="28"/>
        </w:rPr>
        <w:t xml:space="preserve">
      8) обеспечение в виде денег, поступающих в будущем по офтейк-контракту, прав требований к государственному партнеру по денежным поступлениям, перечисляемым на счет, предназначенный для зачисления компенсации инвестиционных затрат, по договору государственно-частного партнерства, заключенному в соответствии с законодательством Республики Казахстан, являющимся залогом по договору банковского займа, условия которых предусмотрены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и Правил расчета и лимитов открытой валютной позиции" (зарегистрированным в Реестре государственной регистрации нормативных правовых актов под № 15886) (далее – Постановление № 170) – 0,5;</w:t>
      </w:r>
    </w:p>
    <w:bookmarkEnd w:id="242"/>
    <w:bookmarkStart w:name="z261" w:id="243"/>
    <w:p>
      <w:pPr>
        <w:spacing w:after="0"/>
        <w:ind w:left="0"/>
        <w:jc w:val="both"/>
      </w:pPr>
      <w:r>
        <w:rPr>
          <w:rFonts w:ascii="Times New Roman"/>
          <w:b w:val="false"/>
          <w:i w:val="false"/>
          <w:color w:val="000000"/>
          <w:sz w:val="28"/>
        </w:rPr>
        <w:t>
      9) обеспечение в виде высоколиквидных ценных бумаг – 0,95;</w:t>
      </w:r>
    </w:p>
    <w:bookmarkEnd w:id="243"/>
    <w:bookmarkStart w:name="z262" w:id="244"/>
    <w:p>
      <w:pPr>
        <w:spacing w:after="0"/>
        <w:ind w:left="0"/>
        <w:jc w:val="both"/>
      </w:pPr>
      <w:r>
        <w:rPr>
          <w:rFonts w:ascii="Times New Roman"/>
          <w:b w:val="false"/>
          <w:i w:val="false"/>
          <w:color w:val="000000"/>
          <w:sz w:val="28"/>
        </w:rPr>
        <w:t>
      10) обеспечение в виде гарантий, выданных банком второго уровня, юридическим лицом, имеющим рейтинг не ниже суверенного рейтинга Республики Казахстан рейтингового агентства Standard &amp; Poor's (Стандард энд Пурс) или рейтинг аналогичного уровня одного из других рейтинговых агентств; субъектом квазигосударственного сектора – 1;</w:t>
      </w:r>
    </w:p>
    <w:bookmarkEnd w:id="244"/>
    <w:bookmarkStart w:name="z263" w:id="245"/>
    <w:p>
      <w:pPr>
        <w:spacing w:after="0"/>
        <w:ind w:left="0"/>
        <w:jc w:val="both"/>
      </w:pPr>
      <w:r>
        <w:rPr>
          <w:rFonts w:ascii="Times New Roman"/>
          <w:b w:val="false"/>
          <w:i w:val="false"/>
          <w:color w:val="000000"/>
          <w:sz w:val="28"/>
        </w:rPr>
        <w:t>
      11) обеспечение в виде денег – 1;</w:t>
      </w:r>
    </w:p>
    <w:bookmarkEnd w:id="245"/>
    <w:bookmarkStart w:name="z264" w:id="246"/>
    <w:p>
      <w:pPr>
        <w:spacing w:after="0"/>
        <w:ind w:left="0"/>
        <w:jc w:val="both"/>
      </w:pPr>
      <w:r>
        <w:rPr>
          <w:rFonts w:ascii="Times New Roman"/>
          <w:b w:val="false"/>
          <w:i w:val="false"/>
          <w:color w:val="000000"/>
          <w:sz w:val="28"/>
        </w:rPr>
        <w:t>
      12) обеспечение в виде договоров страхования, содержащих пункты о безусловном и безотзывном исполнении обязательств по страховой выплате, заключенных с национальной компанией, осуществляющей функции по поддержке экспорта, и имеющей государственную гарантию Правительства Республики Казахстан – 1;</w:t>
      </w:r>
    </w:p>
    <w:bookmarkEnd w:id="246"/>
    <w:bookmarkStart w:name="z265" w:id="247"/>
    <w:p>
      <w:pPr>
        <w:spacing w:after="0"/>
        <w:ind w:left="0"/>
        <w:jc w:val="both"/>
      </w:pPr>
      <w:r>
        <w:rPr>
          <w:rFonts w:ascii="Times New Roman"/>
          <w:b w:val="false"/>
          <w:i w:val="false"/>
          <w:color w:val="000000"/>
          <w:sz w:val="28"/>
        </w:rPr>
        <w:t xml:space="preserve">
      13) обеспечение в виде прав требований по зерновым распискам, условия которых предусмотрены </w:t>
      </w:r>
      <w:r>
        <w:rPr>
          <w:rFonts w:ascii="Times New Roman"/>
          <w:b w:val="false"/>
          <w:i w:val="false"/>
          <w:color w:val="000000"/>
          <w:sz w:val="28"/>
        </w:rPr>
        <w:t>Постановлением № 170</w:t>
      </w:r>
      <w:r>
        <w:rPr>
          <w:rFonts w:ascii="Times New Roman"/>
          <w:b w:val="false"/>
          <w:i w:val="false"/>
          <w:color w:val="000000"/>
          <w:sz w:val="28"/>
        </w:rPr>
        <w:t xml:space="preserve"> – 0,5.</w:t>
      </w:r>
    </w:p>
    <w:bookmarkEnd w:id="247"/>
    <w:bookmarkStart w:name="z266" w:id="248"/>
    <w:p>
      <w:pPr>
        <w:spacing w:after="0"/>
        <w:ind w:left="0"/>
        <w:jc w:val="both"/>
      </w:pPr>
      <w:r>
        <w:rPr>
          <w:rFonts w:ascii="Times New Roman"/>
          <w:b w:val="false"/>
          <w:i w:val="false"/>
          <w:color w:val="000000"/>
          <w:sz w:val="28"/>
        </w:rPr>
        <w:t>
      По иным видам обеспечения, не указанным в части первой настоящего пункта, по которым отсутствует подтверждаемая информация о реализации залогового имущества за период не менее двух лет, допускается применение финансовой организацией при расчете ожидаемых кредитных убытков коэффициентов ликвидности к стоимости обеспечения, предусмотренных Методикой расчета провизий (резервов), но не более 0,5. По видам обеспечения, не предусмотренным в Методике расчета провизий (резервов), применяется коэффициент ликвидности равный нулю.";</w:t>
      </w:r>
    </w:p>
    <w:bookmarkEnd w:id="2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Перечню.</w:t>
      </w:r>
    </w:p>
    <w:bookmarkStart w:name="z268" w:id="249"/>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12 ноября 2019 года № 188 "Об утверждении Правил формирования системы управления рисками и внутреннего контроля для банков второго уровня, филиалов банков-нерезидентов Республики Казахстан" (зарегистрировано в Реестре государственной регистрации нормативных правовых актов под № 19632) следующие изменения:</w:t>
      </w:r>
    </w:p>
    <w:bookmarkEnd w:id="2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270" w:id="25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банках и банковской деятельности в Республике Казахстан"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250"/>
    <w:bookmarkStart w:name="z271" w:id="25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формирования системы управления рисками и внутреннего контроля для банков второго уровня, филиалов банков-нерезидентов Республики Казахстан, утвержденных указанным постановлением:</w:t>
      </w:r>
    </w:p>
    <w:bookmarkEnd w:id="2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42</w:t>
      </w:r>
      <w:r>
        <w:rPr>
          <w:rFonts w:ascii="Times New Roman"/>
          <w:b w:val="false"/>
          <w:i w:val="false"/>
          <w:color w:val="000000"/>
          <w:sz w:val="28"/>
        </w:rPr>
        <w:t xml:space="preserve"> изложить в следующей редакции:</w:t>
      </w:r>
    </w:p>
    <w:bookmarkStart w:name="z273" w:id="252"/>
    <w:p>
      <w:pPr>
        <w:spacing w:after="0"/>
        <w:ind w:left="0"/>
        <w:jc w:val="both"/>
      </w:pPr>
      <w:r>
        <w:rPr>
          <w:rFonts w:ascii="Times New Roman"/>
          <w:b w:val="false"/>
          <w:i w:val="false"/>
          <w:color w:val="000000"/>
          <w:sz w:val="28"/>
        </w:rPr>
        <w:t>
      "42. В рамках системы управления кредитным риском банк руководствуется следующими принципами и требованиями:</w:t>
      </w:r>
    </w:p>
    <w:bookmarkEnd w:id="252"/>
    <w:bookmarkStart w:name="z274" w:id="253"/>
    <w:p>
      <w:pPr>
        <w:spacing w:after="0"/>
        <w:ind w:left="0"/>
        <w:jc w:val="both"/>
      </w:pPr>
      <w:r>
        <w:rPr>
          <w:rFonts w:ascii="Times New Roman"/>
          <w:b w:val="false"/>
          <w:i w:val="false"/>
          <w:color w:val="000000"/>
          <w:sz w:val="28"/>
        </w:rPr>
        <w:t>
      1) совет директоров и комитет по вопросам управления рисками банка обеспечивают:</w:t>
      </w:r>
    </w:p>
    <w:bookmarkEnd w:id="253"/>
    <w:bookmarkStart w:name="z275" w:id="254"/>
    <w:p>
      <w:pPr>
        <w:spacing w:after="0"/>
        <w:ind w:left="0"/>
        <w:jc w:val="both"/>
      </w:pPr>
      <w:r>
        <w:rPr>
          <w:rFonts w:ascii="Times New Roman"/>
          <w:b w:val="false"/>
          <w:i w:val="false"/>
          <w:color w:val="000000"/>
          <w:sz w:val="28"/>
        </w:rPr>
        <w:t>
      поддержание достаточного уровня провизий;</w:t>
      </w:r>
    </w:p>
    <w:bookmarkEnd w:id="254"/>
    <w:bookmarkStart w:name="z276" w:id="255"/>
    <w:p>
      <w:pPr>
        <w:spacing w:after="0"/>
        <w:ind w:left="0"/>
        <w:jc w:val="both"/>
      </w:pPr>
      <w:r>
        <w:rPr>
          <w:rFonts w:ascii="Times New Roman"/>
          <w:b w:val="false"/>
          <w:i w:val="false"/>
          <w:color w:val="000000"/>
          <w:sz w:val="28"/>
        </w:rPr>
        <w:t>
      осуществление контроля над процессом оценки кредитного риска, который обеспечивается следующим:</w:t>
      </w:r>
    </w:p>
    <w:bookmarkEnd w:id="255"/>
    <w:bookmarkStart w:name="z277" w:id="256"/>
    <w:p>
      <w:pPr>
        <w:spacing w:after="0"/>
        <w:ind w:left="0"/>
        <w:jc w:val="both"/>
      </w:pPr>
      <w:r>
        <w:rPr>
          <w:rFonts w:ascii="Times New Roman"/>
          <w:b w:val="false"/>
          <w:i w:val="false"/>
          <w:color w:val="000000"/>
          <w:sz w:val="28"/>
        </w:rPr>
        <w:t>
      принятием необходимых мер по обеспечению полноты и достоверности информации в целях принятия решений;</w:t>
      </w:r>
    </w:p>
    <w:bookmarkEnd w:id="256"/>
    <w:bookmarkStart w:name="z278" w:id="257"/>
    <w:p>
      <w:pPr>
        <w:spacing w:after="0"/>
        <w:ind w:left="0"/>
        <w:jc w:val="both"/>
      </w:pPr>
      <w:r>
        <w:rPr>
          <w:rFonts w:ascii="Times New Roman"/>
          <w:b w:val="false"/>
          <w:i w:val="false"/>
          <w:color w:val="000000"/>
          <w:sz w:val="28"/>
        </w:rPr>
        <w:t xml:space="preserve">
      соблюдением требований </w:t>
      </w:r>
      <w:r>
        <w:rPr>
          <w:rFonts w:ascii="Times New Roman"/>
          <w:b w:val="false"/>
          <w:i w:val="false"/>
          <w:color w:val="000000"/>
          <w:sz w:val="28"/>
        </w:rPr>
        <w:t>Гражданского</w:t>
      </w:r>
      <w:r>
        <w:rPr>
          <w:rFonts w:ascii="Times New Roman"/>
          <w:b w:val="false"/>
          <w:i w:val="false"/>
          <w:color w:val="000000"/>
          <w:sz w:val="28"/>
        </w:rPr>
        <w:t xml:space="preserve"> кодекса Республики Казахстан,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(далее – Налоговый кодекс), </w:t>
      </w:r>
      <w:r>
        <w:rPr>
          <w:rFonts w:ascii="Times New Roman"/>
          <w:b w:val="false"/>
          <w:i w:val="false"/>
          <w:color w:val="000000"/>
          <w:sz w:val="28"/>
        </w:rPr>
        <w:t>Закона</w:t>
      </w:r>
      <w:r>
        <w:rPr>
          <w:rFonts w:ascii="Times New Roman"/>
          <w:b w:val="false"/>
          <w:i w:val="false"/>
          <w:color w:val="000000"/>
          <w:sz w:val="28"/>
        </w:rPr>
        <w:t xml:space="preserve"> о банках,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бухгалтерском учете и финансовой отчетности" (далее – Закон о бухгалтерском учете и финансовой отчетности),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кредитных бюро и формировании кредитных историй в Республике Казахстан", внутренних политик и процедур по управлению кредитным риском;</w:t>
      </w:r>
    </w:p>
    <w:bookmarkEnd w:id="257"/>
    <w:bookmarkStart w:name="z279" w:id="258"/>
    <w:p>
      <w:pPr>
        <w:spacing w:after="0"/>
        <w:ind w:left="0"/>
        <w:jc w:val="both"/>
      </w:pPr>
      <w:r>
        <w:rPr>
          <w:rFonts w:ascii="Times New Roman"/>
          <w:b w:val="false"/>
          <w:i w:val="false"/>
          <w:color w:val="000000"/>
          <w:sz w:val="28"/>
        </w:rPr>
        <w:t>
      принятием мер по обеспечению полной и достоверной управленческой, регуляторной и финансовой отчетности;</w:t>
      </w:r>
    </w:p>
    <w:bookmarkEnd w:id="258"/>
    <w:bookmarkStart w:name="z280" w:id="259"/>
    <w:p>
      <w:pPr>
        <w:spacing w:after="0"/>
        <w:ind w:left="0"/>
        <w:jc w:val="both"/>
      </w:pPr>
      <w:r>
        <w:rPr>
          <w:rFonts w:ascii="Times New Roman"/>
          <w:b w:val="false"/>
          <w:i w:val="false"/>
          <w:color w:val="000000"/>
          <w:sz w:val="28"/>
        </w:rPr>
        <w:t>
      наличием независимой от бизнес-подразделений процедуры оценки займов;</w:t>
      </w:r>
    </w:p>
    <w:bookmarkEnd w:id="259"/>
    <w:bookmarkStart w:name="z281" w:id="260"/>
    <w:p>
      <w:pPr>
        <w:spacing w:after="0"/>
        <w:ind w:left="0"/>
        <w:jc w:val="both"/>
      </w:pPr>
      <w:r>
        <w:rPr>
          <w:rFonts w:ascii="Times New Roman"/>
          <w:b w:val="false"/>
          <w:i w:val="false"/>
          <w:color w:val="000000"/>
          <w:sz w:val="28"/>
        </w:rPr>
        <w:t>
      утверждением адекватной системы классификации активов по уровню кредитного риска, основанной на использовании всей доступной информации в процессе оценки займов;</w:t>
      </w:r>
    </w:p>
    <w:bookmarkEnd w:id="260"/>
    <w:bookmarkStart w:name="z282" w:id="261"/>
    <w:p>
      <w:pPr>
        <w:spacing w:after="0"/>
        <w:ind w:left="0"/>
        <w:jc w:val="both"/>
      </w:pPr>
      <w:r>
        <w:rPr>
          <w:rFonts w:ascii="Times New Roman"/>
          <w:b w:val="false"/>
          <w:i w:val="false"/>
          <w:color w:val="000000"/>
          <w:sz w:val="28"/>
        </w:rPr>
        <w:t>
      наличием детально и в полном объеме регламентированных процедур взаимодействия между участниками процесса управления кредитным риском;</w:t>
      </w:r>
    </w:p>
    <w:bookmarkEnd w:id="261"/>
    <w:bookmarkStart w:name="z283" w:id="262"/>
    <w:p>
      <w:pPr>
        <w:spacing w:after="0"/>
        <w:ind w:left="0"/>
        <w:jc w:val="both"/>
      </w:pPr>
      <w:r>
        <w:rPr>
          <w:rFonts w:ascii="Times New Roman"/>
          <w:b w:val="false"/>
          <w:i w:val="false"/>
          <w:color w:val="000000"/>
          <w:sz w:val="28"/>
        </w:rPr>
        <w:t>
      построение эффективной системы внутреннего контроля, включающей оценку соответствия уровня провизий ожидаемым потерям в рамках утвержденной методики формирования провизий и внутреннего процесса оценки достаточности капитала;</w:t>
      </w:r>
    </w:p>
    <w:bookmarkEnd w:id="262"/>
    <w:bookmarkStart w:name="z284" w:id="263"/>
    <w:p>
      <w:pPr>
        <w:spacing w:after="0"/>
        <w:ind w:left="0"/>
        <w:jc w:val="both"/>
      </w:pPr>
      <w:r>
        <w:rPr>
          <w:rFonts w:ascii="Times New Roman"/>
          <w:b w:val="false"/>
          <w:i w:val="false"/>
          <w:color w:val="000000"/>
          <w:sz w:val="28"/>
        </w:rPr>
        <w:t>
      2) банк осуществляет кредитную деятельность и управление кредитным риском в рамках утвержденной кредитной политики, которая включает, но не ограничиваясь, следующее:</w:t>
      </w:r>
    </w:p>
    <w:bookmarkEnd w:id="263"/>
    <w:bookmarkStart w:name="z285" w:id="264"/>
    <w:p>
      <w:pPr>
        <w:spacing w:after="0"/>
        <w:ind w:left="0"/>
        <w:jc w:val="both"/>
      </w:pPr>
      <w:r>
        <w:rPr>
          <w:rFonts w:ascii="Times New Roman"/>
          <w:b w:val="false"/>
          <w:i w:val="false"/>
          <w:color w:val="000000"/>
          <w:sz w:val="28"/>
        </w:rPr>
        <w:t>
      основные направления кредитной деятельности банка;</w:t>
      </w:r>
    </w:p>
    <w:bookmarkEnd w:id="264"/>
    <w:bookmarkStart w:name="z286" w:id="265"/>
    <w:p>
      <w:pPr>
        <w:spacing w:after="0"/>
        <w:ind w:left="0"/>
        <w:jc w:val="both"/>
      </w:pPr>
      <w:r>
        <w:rPr>
          <w:rFonts w:ascii="Times New Roman"/>
          <w:b w:val="false"/>
          <w:i w:val="false"/>
          <w:color w:val="000000"/>
          <w:sz w:val="28"/>
        </w:rPr>
        <w:t>
      участников кредитного процесса и сферы их ответственности;</w:t>
      </w:r>
    </w:p>
    <w:bookmarkEnd w:id="265"/>
    <w:bookmarkStart w:name="z287" w:id="266"/>
    <w:p>
      <w:pPr>
        <w:spacing w:after="0"/>
        <w:ind w:left="0"/>
        <w:jc w:val="both"/>
      </w:pPr>
      <w:r>
        <w:rPr>
          <w:rFonts w:ascii="Times New Roman"/>
          <w:b w:val="false"/>
          <w:i w:val="false"/>
          <w:color w:val="000000"/>
          <w:sz w:val="28"/>
        </w:rPr>
        <w:t>
      внутренний порядок принятия кредитных решений, включая порядок рассмотрения и одобрения кредитов, в том числе в отношении кредитования лиц, связанных с банком особыми отношениями, лимиты кредитования в целях ограничения концентрации кредитного риска;</w:t>
      </w:r>
    </w:p>
    <w:bookmarkEnd w:id="266"/>
    <w:bookmarkStart w:name="z288" w:id="267"/>
    <w:p>
      <w:pPr>
        <w:spacing w:after="0"/>
        <w:ind w:left="0"/>
        <w:jc w:val="both"/>
      </w:pPr>
      <w:r>
        <w:rPr>
          <w:rFonts w:ascii="Times New Roman"/>
          <w:b w:val="false"/>
          <w:i w:val="false"/>
          <w:color w:val="000000"/>
          <w:sz w:val="28"/>
        </w:rPr>
        <w:t>
      процедуру анализа кредитоспособности заемщика.</w:t>
      </w:r>
    </w:p>
    <w:bookmarkEnd w:id="267"/>
    <w:bookmarkStart w:name="z289" w:id="268"/>
    <w:p>
      <w:pPr>
        <w:spacing w:after="0"/>
        <w:ind w:left="0"/>
        <w:jc w:val="both"/>
      </w:pPr>
      <w:r>
        <w:rPr>
          <w:rFonts w:ascii="Times New Roman"/>
          <w:b w:val="false"/>
          <w:i w:val="false"/>
          <w:color w:val="000000"/>
          <w:sz w:val="28"/>
        </w:rPr>
        <w:t>
      В случае, если совокупная сумма предоставленных займов и принятых условных обязательств физическому лицу превышает 0,01 (ноль целых одну сотую) процента от собственного капитала банка, размер которого выше 100 (ста) миллиардов тенге, или превышает 0,02 (ноль целых две сотых) процента от собственного капитала банка, размер которого до 100 (ста) миллиардов тенге, банк осуществляет анализ кредитоспособности на основе следующей информации и с учетом следующих факторов (но не ограничиваясь ими):</w:t>
      </w:r>
    </w:p>
    <w:bookmarkEnd w:id="268"/>
    <w:bookmarkStart w:name="z290" w:id="269"/>
    <w:p>
      <w:pPr>
        <w:spacing w:after="0"/>
        <w:ind w:left="0"/>
        <w:jc w:val="both"/>
      </w:pPr>
      <w:r>
        <w:rPr>
          <w:rFonts w:ascii="Times New Roman"/>
          <w:b w:val="false"/>
          <w:i w:val="false"/>
          <w:color w:val="000000"/>
          <w:sz w:val="28"/>
        </w:rPr>
        <w:t>
      наличие постоянного и достаточного дохода заемщика;</w:t>
      </w:r>
    </w:p>
    <w:bookmarkEnd w:id="269"/>
    <w:bookmarkStart w:name="z291" w:id="270"/>
    <w:p>
      <w:pPr>
        <w:spacing w:after="0"/>
        <w:ind w:left="0"/>
        <w:jc w:val="both"/>
      </w:pPr>
      <w:r>
        <w:rPr>
          <w:rFonts w:ascii="Times New Roman"/>
          <w:b w:val="false"/>
          <w:i w:val="false"/>
          <w:color w:val="000000"/>
          <w:sz w:val="28"/>
        </w:rPr>
        <w:t>
      наличие недвижимого и другого имущества;</w:t>
      </w:r>
    </w:p>
    <w:bookmarkEnd w:id="270"/>
    <w:bookmarkStart w:name="z292" w:id="271"/>
    <w:p>
      <w:pPr>
        <w:spacing w:after="0"/>
        <w:ind w:left="0"/>
        <w:jc w:val="both"/>
      </w:pPr>
      <w:r>
        <w:rPr>
          <w:rFonts w:ascii="Times New Roman"/>
          <w:b w:val="false"/>
          <w:i w:val="false"/>
          <w:color w:val="000000"/>
          <w:sz w:val="28"/>
        </w:rPr>
        <w:t>
      наличие ссудной задолженности, в том числе перед другими кредиторами;</w:t>
      </w:r>
    </w:p>
    <w:bookmarkEnd w:id="271"/>
    <w:bookmarkStart w:name="z293" w:id="272"/>
    <w:p>
      <w:pPr>
        <w:spacing w:after="0"/>
        <w:ind w:left="0"/>
        <w:jc w:val="both"/>
      </w:pPr>
      <w:r>
        <w:rPr>
          <w:rFonts w:ascii="Times New Roman"/>
          <w:b w:val="false"/>
          <w:i w:val="false"/>
          <w:color w:val="000000"/>
          <w:sz w:val="28"/>
        </w:rPr>
        <w:t>
      долговая нагрузка;</w:t>
      </w:r>
    </w:p>
    <w:bookmarkEnd w:id="272"/>
    <w:bookmarkStart w:name="z294" w:id="273"/>
    <w:p>
      <w:pPr>
        <w:spacing w:after="0"/>
        <w:ind w:left="0"/>
        <w:jc w:val="both"/>
      </w:pPr>
      <w:r>
        <w:rPr>
          <w:rFonts w:ascii="Times New Roman"/>
          <w:b w:val="false"/>
          <w:i w:val="false"/>
          <w:color w:val="000000"/>
          <w:sz w:val="28"/>
        </w:rPr>
        <w:t>
      платежная дисциплина (кредитная история) по займам;</w:t>
      </w:r>
    </w:p>
    <w:bookmarkEnd w:id="273"/>
    <w:bookmarkStart w:name="z295" w:id="274"/>
    <w:p>
      <w:pPr>
        <w:spacing w:after="0"/>
        <w:ind w:left="0"/>
        <w:jc w:val="both"/>
      </w:pPr>
      <w:r>
        <w:rPr>
          <w:rFonts w:ascii="Times New Roman"/>
          <w:b w:val="false"/>
          <w:i w:val="false"/>
          <w:color w:val="000000"/>
          <w:sz w:val="28"/>
        </w:rPr>
        <w:t>
      рейтинг заемщика в скоринговых системах банка (при наличии);</w:t>
      </w:r>
    </w:p>
    <w:bookmarkEnd w:id="274"/>
    <w:bookmarkStart w:name="z296" w:id="275"/>
    <w:p>
      <w:pPr>
        <w:spacing w:after="0"/>
        <w:ind w:left="0"/>
        <w:jc w:val="both"/>
      </w:pPr>
      <w:r>
        <w:rPr>
          <w:rFonts w:ascii="Times New Roman"/>
          <w:b w:val="false"/>
          <w:i w:val="false"/>
          <w:color w:val="000000"/>
          <w:sz w:val="28"/>
        </w:rPr>
        <w:t>
      наличие иной задолженности;</w:t>
      </w:r>
    </w:p>
    <w:bookmarkEnd w:id="275"/>
    <w:bookmarkStart w:name="z297" w:id="276"/>
    <w:p>
      <w:pPr>
        <w:spacing w:after="0"/>
        <w:ind w:left="0"/>
        <w:jc w:val="both"/>
      </w:pPr>
      <w:r>
        <w:rPr>
          <w:rFonts w:ascii="Times New Roman"/>
          <w:b w:val="false"/>
          <w:i w:val="false"/>
          <w:color w:val="000000"/>
          <w:sz w:val="28"/>
        </w:rPr>
        <w:t>
      наличие иных источников погашения задолженности перед банком;</w:t>
      </w:r>
    </w:p>
    <w:bookmarkEnd w:id="276"/>
    <w:bookmarkStart w:name="z298" w:id="277"/>
    <w:p>
      <w:pPr>
        <w:spacing w:after="0"/>
        <w:ind w:left="0"/>
        <w:jc w:val="both"/>
      </w:pPr>
      <w:r>
        <w:rPr>
          <w:rFonts w:ascii="Times New Roman"/>
          <w:b w:val="false"/>
          <w:i w:val="false"/>
          <w:color w:val="000000"/>
          <w:sz w:val="28"/>
        </w:rPr>
        <w:t>
      остатки и операции по банковским счетам;</w:t>
      </w:r>
    </w:p>
    <w:bookmarkEnd w:id="277"/>
    <w:bookmarkStart w:name="z299" w:id="278"/>
    <w:p>
      <w:pPr>
        <w:spacing w:after="0"/>
        <w:ind w:left="0"/>
        <w:jc w:val="both"/>
      </w:pPr>
      <w:r>
        <w:rPr>
          <w:rFonts w:ascii="Times New Roman"/>
          <w:b w:val="false"/>
          <w:i w:val="false"/>
          <w:color w:val="000000"/>
          <w:sz w:val="28"/>
        </w:rPr>
        <w:t>
      информация об образовании и занятости (сфере деятельности);</w:t>
      </w:r>
    </w:p>
    <w:bookmarkEnd w:id="278"/>
    <w:bookmarkStart w:name="z300" w:id="279"/>
    <w:p>
      <w:pPr>
        <w:spacing w:after="0"/>
        <w:ind w:left="0"/>
        <w:jc w:val="both"/>
      </w:pPr>
      <w:r>
        <w:rPr>
          <w:rFonts w:ascii="Times New Roman"/>
          <w:b w:val="false"/>
          <w:i w:val="false"/>
          <w:color w:val="000000"/>
          <w:sz w:val="28"/>
        </w:rPr>
        <w:t>
      социально-демографические характеристики;</w:t>
      </w:r>
    </w:p>
    <w:bookmarkEnd w:id="279"/>
    <w:bookmarkStart w:name="z301" w:id="280"/>
    <w:p>
      <w:pPr>
        <w:spacing w:after="0"/>
        <w:ind w:left="0"/>
        <w:jc w:val="both"/>
      </w:pPr>
      <w:r>
        <w:rPr>
          <w:rFonts w:ascii="Times New Roman"/>
          <w:b w:val="false"/>
          <w:i w:val="false"/>
          <w:color w:val="000000"/>
          <w:sz w:val="28"/>
        </w:rPr>
        <w:t>
      информация о целевом использовании денег;</w:t>
      </w:r>
    </w:p>
    <w:bookmarkEnd w:id="280"/>
    <w:bookmarkStart w:name="z302" w:id="281"/>
    <w:p>
      <w:pPr>
        <w:spacing w:after="0"/>
        <w:ind w:left="0"/>
        <w:jc w:val="both"/>
      </w:pPr>
      <w:r>
        <w:rPr>
          <w:rFonts w:ascii="Times New Roman"/>
          <w:b w:val="false"/>
          <w:i w:val="false"/>
          <w:color w:val="000000"/>
          <w:sz w:val="28"/>
        </w:rPr>
        <w:t>
      дополнительная информация о доходах заемщика.</w:t>
      </w:r>
    </w:p>
    <w:bookmarkEnd w:id="281"/>
    <w:bookmarkStart w:name="z303" w:id="282"/>
    <w:p>
      <w:pPr>
        <w:spacing w:after="0"/>
        <w:ind w:left="0"/>
        <w:jc w:val="both"/>
      </w:pPr>
      <w:r>
        <w:rPr>
          <w:rFonts w:ascii="Times New Roman"/>
          <w:b w:val="false"/>
          <w:i w:val="false"/>
          <w:color w:val="000000"/>
          <w:sz w:val="28"/>
        </w:rPr>
        <w:t>
      В случае, если совокупная сумма предоставленных займов и принятых условных обязательств физическому лицу не превышает 0,01 (ноль целых одну сотую) процента от собственного капитала банка, размер которого выше 100 (ста) миллиардов тенге, или не превышает 0,02 (ноль целых две сотых) процента от собственного капитала банка, размер которого до 100 (ста) миллиардов тенге, банк осуществляет анализ кредитоспособности на основе следующей информации и с учетом следующих факторов (но не ограничиваясь ими):</w:t>
      </w:r>
    </w:p>
    <w:bookmarkEnd w:id="282"/>
    <w:bookmarkStart w:name="z304" w:id="283"/>
    <w:p>
      <w:pPr>
        <w:spacing w:after="0"/>
        <w:ind w:left="0"/>
        <w:jc w:val="both"/>
      </w:pPr>
      <w:r>
        <w:rPr>
          <w:rFonts w:ascii="Times New Roman"/>
          <w:b w:val="false"/>
          <w:i w:val="false"/>
          <w:color w:val="000000"/>
          <w:sz w:val="28"/>
        </w:rPr>
        <w:t>
      наличие постоянного и достаточного дохода заемщика;</w:t>
      </w:r>
    </w:p>
    <w:bookmarkEnd w:id="283"/>
    <w:bookmarkStart w:name="z305" w:id="284"/>
    <w:p>
      <w:pPr>
        <w:spacing w:after="0"/>
        <w:ind w:left="0"/>
        <w:jc w:val="both"/>
      </w:pPr>
      <w:r>
        <w:rPr>
          <w:rFonts w:ascii="Times New Roman"/>
          <w:b w:val="false"/>
          <w:i w:val="false"/>
          <w:color w:val="000000"/>
          <w:sz w:val="28"/>
        </w:rPr>
        <w:t>
      наличие ссудной задолженности, в том числе перед другими кредиторами;</w:t>
      </w:r>
    </w:p>
    <w:bookmarkEnd w:id="284"/>
    <w:bookmarkStart w:name="z306" w:id="285"/>
    <w:p>
      <w:pPr>
        <w:spacing w:after="0"/>
        <w:ind w:left="0"/>
        <w:jc w:val="both"/>
      </w:pPr>
      <w:r>
        <w:rPr>
          <w:rFonts w:ascii="Times New Roman"/>
          <w:b w:val="false"/>
          <w:i w:val="false"/>
          <w:color w:val="000000"/>
          <w:sz w:val="28"/>
        </w:rPr>
        <w:t>
      долговая нагрузка;</w:t>
      </w:r>
    </w:p>
    <w:bookmarkEnd w:id="285"/>
    <w:bookmarkStart w:name="z307" w:id="286"/>
    <w:p>
      <w:pPr>
        <w:spacing w:after="0"/>
        <w:ind w:left="0"/>
        <w:jc w:val="both"/>
      </w:pPr>
      <w:r>
        <w:rPr>
          <w:rFonts w:ascii="Times New Roman"/>
          <w:b w:val="false"/>
          <w:i w:val="false"/>
          <w:color w:val="000000"/>
          <w:sz w:val="28"/>
        </w:rPr>
        <w:t>
      платежная дисциплина (кредитная история) по займам;</w:t>
      </w:r>
    </w:p>
    <w:bookmarkEnd w:id="286"/>
    <w:bookmarkStart w:name="z308" w:id="287"/>
    <w:p>
      <w:pPr>
        <w:spacing w:after="0"/>
        <w:ind w:left="0"/>
        <w:jc w:val="both"/>
      </w:pPr>
      <w:r>
        <w:rPr>
          <w:rFonts w:ascii="Times New Roman"/>
          <w:b w:val="false"/>
          <w:i w:val="false"/>
          <w:color w:val="000000"/>
          <w:sz w:val="28"/>
        </w:rPr>
        <w:t>
      рейтинг заемщика в скоринговых системах банка (при наличии);</w:t>
      </w:r>
    </w:p>
    <w:bookmarkEnd w:id="287"/>
    <w:bookmarkStart w:name="z309" w:id="288"/>
    <w:p>
      <w:pPr>
        <w:spacing w:after="0"/>
        <w:ind w:left="0"/>
        <w:jc w:val="both"/>
      </w:pPr>
      <w:r>
        <w:rPr>
          <w:rFonts w:ascii="Times New Roman"/>
          <w:b w:val="false"/>
          <w:i w:val="false"/>
          <w:color w:val="000000"/>
          <w:sz w:val="28"/>
        </w:rPr>
        <w:t>
      наличие иных источников погашения задолженности перед банком;</w:t>
      </w:r>
    </w:p>
    <w:bookmarkEnd w:id="288"/>
    <w:bookmarkStart w:name="z310" w:id="289"/>
    <w:p>
      <w:pPr>
        <w:spacing w:after="0"/>
        <w:ind w:left="0"/>
        <w:jc w:val="both"/>
      </w:pPr>
      <w:r>
        <w:rPr>
          <w:rFonts w:ascii="Times New Roman"/>
          <w:b w:val="false"/>
          <w:i w:val="false"/>
          <w:color w:val="000000"/>
          <w:sz w:val="28"/>
        </w:rPr>
        <w:t>
      остатки и операции по банковским счетам;</w:t>
      </w:r>
    </w:p>
    <w:bookmarkEnd w:id="289"/>
    <w:bookmarkStart w:name="z311" w:id="290"/>
    <w:p>
      <w:pPr>
        <w:spacing w:after="0"/>
        <w:ind w:left="0"/>
        <w:jc w:val="both"/>
      </w:pPr>
      <w:r>
        <w:rPr>
          <w:rFonts w:ascii="Times New Roman"/>
          <w:b w:val="false"/>
          <w:i w:val="false"/>
          <w:color w:val="000000"/>
          <w:sz w:val="28"/>
        </w:rPr>
        <w:t>
      информация об образовании и занятости;</w:t>
      </w:r>
    </w:p>
    <w:bookmarkEnd w:id="290"/>
    <w:bookmarkStart w:name="z312" w:id="291"/>
    <w:p>
      <w:pPr>
        <w:spacing w:after="0"/>
        <w:ind w:left="0"/>
        <w:jc w:val="both"/>
      </w:pPr>
      <w:r>
        <w:rPr>
          <w:rFonts w:ascii="Times New Roman"/>
          <w:b w:val="false"/>
          <w:i w:val="false"/>
          <w:color w:val="000000"/>
          <w:sz w:val="28"/>
        </w:rPr>
        <w:t>
      социально-демографические характеристики;</w:t>
      </w:r>
    </w:p>
    <w:bookmarkEnd w:id="291"/>
    <w:bookmarkStart w:name="z313" w:id="292"/>
    <w:p>
      <w:pPr>
        <w:spacing w:after="0"/>
        <w:ind w:left="0"/>
        <w:jc w:val="both"/>
      </w:pPr>
      <w:r>
        <w:rPr>
          <w:rFonts w:ascii="Times New Roman"/>
          <w:b w:val="false"/>
          <w:i w:val="false"/>
          <w:color w:val="000000"/>
          <w:sz w:val="28"/>
        </w:rPr>
        <w:t>
      информация о целевом использовании денег (при наличии).</w:t>
      </w:r>
    </w:p>
    <w:bookmarkEnd w:id="292"/>
    <w:bookmarkStart w:name="z314" w:id="293"/>
    <w:p>
      <w:pPr>
        <w:spacing w:after="0"/>
        <w:ind w:left="0"/>
        <w:jc w:val="both"/>
      </w:pPr>
      <w:r>
        <w:rPr>
          <w:rFonts w:ascii="Times New Roman"/>
          <w:b w:val="false"/>
          <w:i w:val="false"/>
          <w:color w:val="000000"/>
          <w:sz w:val="28"/>
        </w:rPr>
        <w:t>
      В случае, если совокупная сумма предоставленных займов и условных обязательств юридическому лицу превышает 0,2 (ноль целых две десятых) процента от собственного капитала банка, банк осуществляет анализ кредитоспособности на основе следующей информации и с учетом следующих факторов (но не ограничиваясь ими):</w:t>
      </w:r>
    </w:p>
    <w:bookmarkEnd w:id="293"/>
    <w:bookmarkStart w:name="z315" w:id="294"/>
    <w:p>
      <w:pPr>
        <w:spacing w:after="0"/>
        <w:ind w:left="0"/>
        <w:jc w:val="both"/>
      </w:pPr>
      <w:r>
        <w:rPr>
          <w:rFonts w:ascii="Times New Roman"/>
          <w:b w:val="false"/>
          <w:i w:val="false"/>
          <w:color w:val="000000"/>
          <w:sz w:val="28"/>
        </w:rPr>
        <w:t>
      анализ финансовой отчетности и основных финансовых коэффициентов заемщиков-юридических лиц (рентабельность, соотношение собственных и заемных средств, план поступления денежных средств (за исключением случаев выдачи займов финансовым организациям, размещения вкладов в финансовых организациях, открытия кредитной линии сроком менее 6 (шести) месяцев), уровня доходов.</w:t>
      </w:r>
    </w:p>
    <w:bookmarkEnd w:id="294"/>
    <w:bookmarkStart w:name="z316" w:id="295"/>
    <w:p>
      <w:pPr>
        <w:spacing w:after="0"/>
        <w:ind w:left="0"/>
        <w:jc w:val="both"/>
      </w:pPr>
      <w:r>
        <w:rPr>
          <w:rFonts w:ascii="Times New Roman"/>
          <w:b w:val="false"/>
          <w:i w:val="false"/>
          <w:color w:val="000000"/>
          <w:sz w:val="28"/>
        </w:rPr>
        <w:t>
      Принимаемая для анализа финансовая отчетность заемщика (за исключением случаев финансирования в виде овердрафтов, кредитных карт, кредитных линий сроком менее 6 (шести) месяцев) балансовая стоимость активов которого превышает 0,2 (ноль целых две десятых) процента от собственного капитала банка, соответствует следующим требованиям:</w:t>
      </w:r>
    </w:p>
    <w:bookmarkEnd w:id="295"/>
    <w:bookmarkStart w:name="z317" w:id="296"/>
    <w:p>
      <w:pPr>
        <w:spacing w:after="0"/>
        <w:ind w:left="0"/>
        <w:jc w:val="both"/>
      </w:pPr>
      <w:r>
        <w:rPr>
          <w:rFonts w:ascii="Times New Roman"/>
          <w:b w:val="false"/>
          <w:i w:val="false"/>
          <w:color w:val="000000"/>
          <w:sz w:val="28"/>
        </w:rPr>
        <w:t>
      наличие трех основных форм отчетности с расшифровками счетов по материальным (значимым) компонентам баланса (более 5 (пяти) процентов от валюты баланса) и (или) отчета о прибылях и убытках (более 5 (пяти) процентов от выручки). Данное требование не распространяется на акционерное общество "Фонд национального благосостояния "Самрук-Қазына", акционерное общество "Национальный управляющий холдинг "Байтерек", публичные компании, имеющие долгосрочный кредитный рейтинг по международной шкале агентств Standard &amp; Poor's (Стандард энд Пурс), Moody's Investors Service (Мудис Инвесторс Сервис) или Fitch Ratings Inc. (Фич Рейтингс), юридические лица, которые включаются в консолидированную финансовую отчетность частных международных корпораций (акции или доли участия которых не листингуются на фондовой бирже либо международных фондовых биржах) или публичных международных корпораций, а также на случаи наличия аудированной финансовой отчетности, заверенной компаниями, соответствующими листинговым требованиям фондовой биржи;</w:t>
      </w:r>
    </w:p>
    <w:bookmarkEnd w:id="296"/>
    <w:bookmarkStart w:name="z318" w:id="297"/>
    <w:p>
      <w:pPr>
        <w:spacing w:after="0"/>
        <w:ind w:left="0"/>
        <w:jc w:val="both"/>
      </w:pPr>
      <w:r>
        <w:rPr>
          <w:rFonts w:ascii="Times New Roman"/>
          <w:b w:val="false"/>
          <w:i w:val="false"/>
          <w:color w:val="000000"/>
          <w:sz w:val="28"/>
        </w:rPr>
        <w:t>
      соответствие между всеми формами финансовой отчетности;</w:t>
      </w:r>
    </w:p>
    <w:bookmarkEnd w:id="297"/>
    <w:bookmarkStart w:name="z319" w:id="298"/>
    <w:p>
      <w:pPr>
        <w:spacing w:after="0"/>
        <w:ind w:left="0"/>
        <w:jc w:val="both"/>
      </w:pPr>
      <w:r>
        <w:rPr>
          <w:rFonts w:ascii="Times New Roman"/>
          <w:b w:val="false"/>
          <w:i w:val="false"/>
          <w:color w:val="000000"/>
          <w:sz w:val="28"/>
        </w:rPr>
        <w:t>
      наличие подписей ответственных (уполномоченных) лиц заемщика под предоставленной финансовой отчетностью.</w:t>
      </w:r>
    </w:p>
    <w:bookmarkEnd w:id="298"/>
    <w:bookmarkStart w:name="z320" w:id="299"/>
    <w:p>
      <w:pPr>
        <w:spacing w:after="0"/>
        <w:ind w:left="0"/>
        <w:jc w:val="both"/>
      </w:pPr>
      <w:r>
        <w:rPr>
          <w:rFonts w:ascii="Times New Roman"/>
          <w:b w:val="false"/>
          <w:i w:val="false"/>
          <w:color w:val="000000"/>
          <w:sz w:val="28"/>
        </w:rPr>
        <w:t>
      В случае наличия аудированной финансовой отчетности, соответствующей листинговым требованиям фондовой биржи, приоритетно используется аудированная финансовая отчетность для любых целей, а также не требуется ее сверка с налоговой декларацией. Сверка с налоговой декларацией финансовой отчетности не требуется для юридических лиц, которые включаются в консолидированную финансовую отчетность частных международных корпораций (акции или доли участия, которых не листингуются на фондовой бирже либо международных фондовых биржах) или публичных международных корпораций.</w:t>
      </w:r>
    </w:p>
    <w:bookmarkEnd w:id="299"/>
    <w:bookmarkStart w:name="z321" w:id="300"/>
    <w:p>
      <w:pPr>
        <w:spacing w:after="0"/>
        <w:ind w:left="0"/>
        <w:jc w:val="both"/>
      </w:pPr>
      <w:r>
        <w:rPr>
          <w:rFonts w:ascii="Times New Roman"/>
          <w:b w:val="false"/>
          <w:i w:val="false"/>
          <w:color w:val="000000"/>
          <w:sz w:val="28"/>
        </w:rPr>
        <w:t>
      С 1 января 2026 года требуется наличие налоговой декларации (в случае, когда сдача налоговой декларации требуется в соответствии с Налоговым кодексом) и отсутствие противоречия данных из налоговой декларации с данными из финансовой отчетности, используемой для оценки признаков обесценения и расчета денежных потоков в целях расчета провизий, за один и тот же период. Расхождения между показателями финансовой и налоговой отчетностей допускаются ввиду различий бухгалтерского и налогового учета. В иных случаях причины существенных расхождений данных между формами отчетности описываются в заключении ответственного подразделения банка по заемщику и рассматриваются уполномоченным коллегиальным органом банка.</w:t>
      </w:r>
    </w:p>
    <w:bookmarkEnd w:id="300"/>
    <w:bookmarkStart w:name="z322" w:id="301"/>
    <w:p>
      <w:pPr>
        <w:spacing w:after="0"/>
        <w:ind w:left="0"/>
        <w:jc w:val="both"/>
      </w:pPr>
      <w:r>
        <w:rPr>
          <w:rFonts w:ascii="Times New Roman"/>
          <w:b w:val="false"/>
          <w:i w:val="false"/>
          <w:color w:val="000000"/>
          <w:sz w:val="28"/>
        </w:rPr>
        <w:t>
      Банк устанавливает существенность расхождений во внутренних документах. В случае отсутствия установленных порогов существенными расхождениями являются (но не ограничиваясь) расхождения в размере более 30 (тридцати) процентов по показателям выручки, итогового финансового результата, рентабельности активов.</w:t>
      </w:r>
    </w:p>
    <w:bookmarkEnd w:id="301"/>
    <w:bookmarkStart w:name="z323" w:id="302"/>
    <w:p>
      <w:pPr>
        <w:spacing w:after="0"/>
        <w:ind w:left="0"/>
        <w:jc w:val="both"/>
      </w:pPr>
      <w:r>
        <w:rPr>
          <w:rFonts w:ascii="Times New Roman"/>
          <w:b w:val="false"/>
          <w:i w:val="false"/>
          <w:color w:val="000000"/>
          <w:sz w:val="28"/>
        </w:rPr>
        <w:t>
      В случае объективности финансовой отчетности банк использует финансовую отчетность в целях оценки признаков обесценения и расчета денежных потоков в целях расчета провизий.</w:t>
      </w:r>
    </w:p>
    <w:bookmarkEnd w:id="302"/>
    <w:bookmarkStart w:name="z324" w:id="303"/>
    <w:p>
      <w:pPr>
        <w:spacing w:after="0"/>
        <w:ind w:left="0"/>
        <w:jc w:val="both"/>
      </w:pPr>
      <w:r>
        <w:rPr>
          <w:rFonts w:ascii="Times New Roman"/>
          <w:b w:val="false"/>
          <w:i w:val="false"/>
          <w:color w:val="000000"/>
          <w:sz w:val="28"/>
        </w:rPr>
        <w:t>
      В случае отсутствия финансовой отчетности и (или) налоговой декларации (в случае, когда их сдача не требуется в соответствии с Налоговым кодексом и Законом о бухгалтерском учете и финансовой отчетности) запрашивается информация об активах заемщика и иных источниках дохода (выписки по банковским счетам, подтверждение наличия в собственности соответствующих активов).</w:t>
      </w:r>
    </w:p>
    <w:bookmarkEnd w:id="303"/>
    <w:bookmarkStart w:name="z325" w:id="304"/>
    <w:p>
      <w:pPr>
        <w:spacing w:after="0"/>
        <w:ind w:left="0"/>
        <w:jc w:val="both"/>
      </w:pPr>
      <w:r>
        <w:rPr>
          <w:rFonts w:ascii="Times New Roman"/>
          <w:b w:val="false"/>
          <w:i w:val="false"/>
          <w:color w:val="000000"/>
          <w:sz w:val="28"/>
        </w:rPr>
        <w:t>
      В рамках оценки признаков обесценения и категорий обесценения допускается использование финансовой отчетности заемщиков, созаемщиков, гарантов и поручителей в консолидированном виде.</w:t>
      </w:r>
    </w:p>
    <w:bookmarkEnd w:id="304"/>
    <w:bookmarkStart w:name="z326" w:id="305"/>
    <w:p>
      <w:pPr>
        <w:spacing w:after="0"/>
        <w:ind w:left="0"/>
        <w:jc w:val="both"/>
      </w:pPr>
      <w:r>
        <w:rPr>
          <w:rFonts w:ascii="Times New Roman"/>
          <w:b w:val="false"/>
          <w:i w:val="false"/>
          <w:color w:val="000000"/>
          <w:sz w:val="28"/>
        </w:rPr>
        <w:t>
      В целях расчета ожидаемых денежных потоков по займу допускается консолидация финансовой отчетности заемщика (в том числе со стороны банка) с отчетностью лиц (в том числе связанных с заемщиком), имеющих договорные обязательства с заемщиком по погашению его задолженности в случае наступления его неплатежеспособности, а также с отчетностью лиц, не имеющих таких договорных обязательств с заемщиком, если активы данного лица выступают обеспечением по обязательствам заемщика.</w:t>
      </w:r>
    </w:p>
    <w:bookmarkEnd w:id="305"/>
    <w:bookmarkStart w:name="z327" w:id="306"/>
    <w:p>
      <w:pPr>
        <w:spacing w:after="0"/>
        <w:ind w:left="0"/>
        <w:jc w:val="both"/>
      </w:pPr>
      <w:r>
        <w:rPr>
          <w:rFonts w:ascii="Times New Roman"/>
          <w:b w:val="false"/>
          <w:i w:val="false"/>
          <w:color w:val="000000"/>
          <w:sz w:val="28"/>
        </w:rPr>
        <w:t>
      В случае выдачи банком займа без соблюдения требований, установленных абзацами тридцать третьим, тридцать четвертым, тридцать пятым, тридцать шестым, тридцать восьмым, тридцать девятым, сорок первым, сорок вторым и сорок третьим настоящего подпункта, все обязательства заемщика относятся к обесцененным активам по международным стандартам финансовой отчетности (далее – МСФО);</w:t>
      </w:r>
    </w:p>
    <w:bookmarkEnd w:id="306"/>
    <w:bookmarkStart w:name="z328" w:id="307"/>
    <w:p>
      <w:pPr>
        <w:spacing w:after="0"/>
        <w:ind w:left="0"/>
        <w:jc w:val="both"/>
      </w:pPr>
      <w:r>
        <w:rPr>
          <w:rFonts w:ascii="Times New Roman"/>
          <w:b w:val="false"/>
          <w:i w:val="false"/>
          <w:color w:val="000000"/>
          <w:sz w:val="28"/>
        </w:rPr>
        <w:t>
      наличие ссудной задолженности, в том числе перед другими кредиторами;</w:t>
      </w:r>
    </w:p>
    <w:bookmarkEnd w:id="307"/>
    <w:bookmarkStart w:name="z329" w:id="308"/>
    <w:p>
      <w:pPr>
        <w:spacing w:after="0"/>
        <w:ind w:left="0"/>
        <w:jc w:val="both"/>
      </w:pPr>
      <w:r>
        <w:rPr>
          <w:rFonts w:ascii="Times New Roman"/>
          <w:b w:val="false"/>
          <w:i w:val="false"/>
          <w:color w:val="000000"/>
          <w:sz w:val="28"/>
        </w:rPr>
        <w:t>
      платежная дисциплина (кредитная история) по займам;</w:t>
      </w:r>
    </w:p>
    <w:bookmarkEnd w:id="308"/>
    <w:bookmarkStart w:name="z330" w:id="309"/>
    <w:p>
      <w:pPr>
        <w:spacing w:after="0"/>
        <w:ind w:left="0"/>
        <w:jc w:val="both"/>
      </w:pPr>
      <w:r>
        <w:rPr>
          <w:rFonts w:ascii="Times New Roman"/>
          <w:b w:val="false"/>
          <w:i w:val="false"/>
          <w:color w:val="000000"/>
          <w:sz w:val="28"/>
        </w:rPr>
        <w:t>
      уровень ликвидных активов;</w:t>
      </w:r>
    </w:p>
    <w:bookmarkEnd w:id="309"/>
    <w:bookmarkStart w:name="z331" w:id="310"/>
    <w:p>
      <w:pPr>
        <w:spacing w:after="0"/>
        <w:ind w:left="0"/>
        <w:jc w:val="both"/>
      </w:pPr>
      <w:r>
        <w:rPr>
          <w:rFonts w:ascii="Times New Roman"/>
          <w:b w:val="false"/>
          <w:i w:val="false"/>
          <w:color w:val="000000"/>
          <w:sz w:val="28"/>
        </w:rPr>
        <w:t>
      долговая нагрузка;</w:t>
      </w:r>
    </w:p>
    <w:bookmarkEnd w:id="310"/>
    <w:bookmarkStart w:name="z332" w:id="311"/>
    <w:p>
      <w:pPr>
        <w:spacing w:after="0"/>
        <w:ind w:left="0"/>
        <w:jc w:val="both"/>
      </w:pPr>
      <w:r>
        <w:rPr>
          <w:rFonts w:ascii="Times New Roman"/>
          <w:b w:val="false"/>
          <w:i w:val="false"/>
          <w:color w:val="000000"/>
          <w:sz w:val="28"/>
        </w:rPr>
        <w:t>
      наличие иных источников погашения задолженности перед банком;</w:t>
      </w:r>
    </w:p>
    <w:bookmarkEnd w:id="311"/>
    <w:bookmarkStart w:name="z333" w:id="312"/>
    <w:p>
      <w:pPr>
        <w:spacing w:after="0"/>
        <w:ind w:left="0"/>
        <w:jc w:val="both"/>
      </w:pPr>
      <w:r>
        <w:rPr>
          <w:rFonts w:ascii="Times New Roman"/>
          <w:b w:val="false"/>
          <w:i w:val="false"/>
          <w:color w:val="000000"/>
          <w:sz w:val="28"/>
        </w:rPr>
        <w:t>
      прогнозные свободные денежные потоки;</w:t>
      </w:r>
    </w:p>
    <w:bookmarkEnd w:id="312"/>
    <w:bookmarkStart w:name="z334" w:id="313"/>
    <w:p>
      <w:pPr>
        <w:spacing w:after="0"/>
        <w:ind w:left="0"/>
        <w:jc w:val="both"/>
      </w:pPr>
      <w:r>
        <w:rPr>
          <w:rFonts w:ascii="Times New Roman"/>
          <w:b w:val="false"/>
          <w:i w:val="false"/>
          <w:color w:val="000000"/>
          <w:sz w:val="28"/>
        </w:rPr>
        <w:t>
      оценка внешней среды заемщика (состояние экономики, отрасли, перспективы развития, диверсификация производства и рынков сбыта, и характеристики операционной деятельности заемщика, такие как рыночная доля заемщика на соответствующем рынке, позиционирование продукта заемщика, география операций, цикличность бизнеса, изменения в предпочтениях потребителей, изменение в технологии, барьеры вхождения в сектор экономики и другие факторы, влияющие на возможность компании получать доход и поддерживать цены);</w:t>
      </w:r>
    </w:p>
    <w:bookmarkEnd w:id="313"/>
    <w:bookmarkStart w:name="z335" w:id="314"/>
    <w:p>
      <w:pPr>
        <w:spacing w:after="0"/>
        <w:ind w:left="0"/>
        <w:jc w:val="both"/>
      </w:pPr>
      <w:r>
        <w:rPr>
          <w:rFonts w:ascii="Times New Roman"/>
          <w:b w:val="false"/>
          <w:i w:val="false"/>
          <w:color w:val="000000"/>
          <w:sz w:val="28"/>
        </w:rPr>
        <w:t>
      оценка качества управления (опыт, компетентность, деловая репутация);</w:t>
      </w:r>
    </w:p>
    <w:bookmarkEnd w:id="314"/>
    <w:bookmarkStart w:name="z336" w:id="315"/>
    <w:p>
      <w:pPr>
        <w:spacing w:after="0"/>
        <w:ind w:left="0"/>
        <w:jc w:val="both"/>
      </w:pPr>
      <w:r>
        <w:rPr>
          <w:rFonts w:ascii="Times New Roman"/>
          <w:b w:val="false"/>
          <w:i w:val="false"/>
          <w:color w:val="000000"/>
          <w:sz w:val="28"/>
        </w:rPr>
        <w:t>
      оценка собственников заемщика;</w:t>
      </w:r>
    </w:p>
    <w:bookmarkEnd w:id="315"/>
    <w:bookmarkStart w:name="z337" w:id="316"/>
    <w:p>
      <w:pPr>
        <w:spacing w:after="0"/>
        <w:ind w:left="0"/>
        <w:jc w:val="both"/>
      </w:pPr>
      <w:r>
        <w:rPr>
          <w:rFonts w:ascii="Times New Roman"/>
          <w:b w:val="false"/>
          <w:i w:val="false"/>
          <w:color w:val="000000"/>
          <w:sz w:val="28"/>
        </w:rPr>
        <w:t>
      наличие фактов вовлеченности в судебные разбирательства;</w:t>
      </w:r>
    </w:p>
    <w:bookmarkEnd w:id="316"/>
    <w:bookmarkStart w:name="z338" w:id="317"/>
    <w:p>
      <w:pPr>
        <w:spacing w:after="0"/>
        <w:ind w:left="0"/>
        <w:jc w:val="both"/>
      </w:pPr>
      <w:r>
        <w:rPr>
          <w:rFonts w:ascii="Times New Roman"/>
          <w:b w:val="false"/>
          <w:i w:val="false"/>
          <w:color w:val="000000"/>
          <w:sz w:val="28"/>
        </w:rPr>
        <w:t>
      включение в список неблагонадежных налогоплательщиков.</w:t>
      </w:r>
    </w:p>
    <w:bookmarkEnd w:id="317"/>
    <w:bookmarkStart w:name="z339" w:id="318"/>
    <w:p>
      <w:pPr>
        <w:spacing w:after="0"/>
        <w:ind w:left="0"/>
        <w:jc w:val="both"/>
      </w:pPr>
      <w:r>
        <w:rPr>
          <w:rFonts w:ascii="Times New Roman"/>
          <w:b w:val="false"/>
          <w:i w:val="false"/>
          <w:color w:val="000000"/>
          <w:sz w:val="28"/>
        </w:rPr>
        <w:t>
      В случае, если совокупная сумма предоставленных займов и условных обязательств юридическому лицу не превышает 0,2 (ноль целых две десятых) процента от собственного капитала банка, банк осуществляет анализ кредитоспособности на основе следующей информации и с учетом следующих факторов (но не ограничиваясь ими):</w:t>
      </w:r>
    </w:p>
    <w:bookmarkEnd w:id="318"/>
    <w:bookmarkStart w:name="z340" w:id="319"/>
    <w:p>
      <w:pPr>
        <w:spacing w:after="0"/>
        <w:ind w:left="0"/>
        <w:jc w:val="both"/>
      </w:pPr>
      <w:r>
        <w:rPr>
          <w:rFonts w:ascii="Times New Roman"/>
          <w:b w:val="false"/>
          <w:i w:val="false"/>
          <w:color w:val="000000"/>
          <w:sz w:val="28"/>
        </w:rPr>
        <w:t>
      наличие постоянного и достаточного дохода заемщика;</w:t>
      </w:r>
    </w:p>
    <w:bookmarkEnd w:id="319"/>
    <w:bookmarkStart w:name="z341" w:id="320"/>
    <w:p>
      <w:pPr>
        <w:spacing w:after="0"/>
        <w:ind w:left="0"/>
        <w:jc w:val="both"/>
      </w:pPr>
      <w:r>
        <w:rPr>
          <w:rFonts w:ascii="Times New Roman"/>
          <w:b w:val="false"/>
          <w:i w:val="false"/>
          <w:color w:val="000000"/>
          <w:sz w:val="28"/>
        </w:rPr>
        <w:t>
      наличие ссудной задолженности, в том числе перед другими кредиторами;</w:t>
      </w:r>
    </w:p>
    <w:bookmarkEnd w:id="320"/>
    <w:bookmarkStart w:name="z342" w:id="321"/>
    <w:p>
      <w:pPr>
        <w:spacing w:after="0"/>
        <w:ind w:left="0"/>
        <w:jc w:val="both"/>
      </w:pPr>
      <w:r>
        <w:rPr>
          <w:rFonts w:ascii="Times New Roman"/>
          <w:b w:val="false"/>
          <w:i w:val="false"/>
          <w:color w:val="000000"/>
          <w:sz w:val="28"/>
        </w:rPr>
        <w:t>
      платежная дисциплина (кредитная история) по займам;</w:t>
      </w:r>
    </w:p>
    <w:bookmarkEnd w:id="321"/>
    <w:bookmarkStart w:name="z343" w:id="322"/>
    <w:p>
      <w:pPr>
        <w:spacing w:after="0"/>
        <w:ind w:left="0"/>
        <w:jc w:val="both"/>
      </w:pPr>
      <w:r>
        <w:rPr>
          <w:rFonts w:ascii="Times New Roman"/>
          <w:b w:val="false"/>
          <w:i w:val="false"/>
          <w:color w:val="000000"/>
          <w:sz w:val="28"/>
        </w:rPr>
        <w:t>
      долговая нагрузка;</w:t>
      </w:r>
    </w:p>
    <w:bookmarkEnd w:id="322"/>
    <w:bookmarkStart w:name="z344" w:id="323"/>
    <w:p>
      <w:pPr>
        <w:spacing w:after="0"/>
        <w:ind w:left="0"/>
        <w:jc w:val="both"/>
      </w:pPr>
      <w:r>
        <w:rPr>
          <w:rFonts w:ascii="Times New Roman"/>
          <w:b w:val="false"/>
          <w:i w:val="false"/>
          <w:color w:val="000000"/>
          <w:sz w:val="28"/>
        </w:rPr>
        <w:t>
      наличие иных источников погашения задолженности перед банком;</w:t>
      </w:r>
    </w:p>
    <w:bookmarkEnd w:id="323"/>
    <w:bookmarkStart w:name="z345" w:id="324"/>
    <w:p>
      <w:pPr>
        <w:spacing w:after="0"/>
        <w:ind w:left="0"/>
        <w:jc w:val="both"/>
      </w:pPr>
      <w:r>
        <w:rPr>
          <w:rFonts w:ascii="Times New Roman"/>
          <w:b w:val="false"/>
          <w:i w:val="false"/>
          <w:color w:val="000000"/>
          <w:sz w:val="28"/>
        </w:rPr>
        <w:t>
      перспективы развития соответствующей отрасли.</w:t>
      </w:r>
    </w:p>
    <w:bookmarkEnd w:id="324"/>
    <w:bookmarkStart w:name="z346" w:id="325"/>
    <w:p>
      <w:pPr>
        <w:spacing w:after="0"/>
        <w:ind w:left="0"/>
        <w:jc w:val="both"/>
      </w:pPr>
      <w:r>
        <w:rPr>
          <w:rFonts w:ascii="Times New Roman"/>
          <w:b w:val="false"/>
          <w:i w:val="false"/>
          <w:color w:val="000000"/>
          <w:sz w:val="28"/>
        </w:rPr>
        <w:t>
      В зависимости от отрасли кредитования и типа заемщика набор количественных и качественных показателей меняется.</w:t>
      </w:r>
    </w:p>
    <w:bookmarkEnd w:id="325"/>
    <w:bookmarkStart w:name="z347" w:id="326"/>
    <w:p>
      <w:pPr>
        <w:spacing w:after="0"/>
        <w:ind w:left="0"/>
        <w:jc w:val="both"/>
      </w:pPr>
      <w:r>
        <w:rPr>
          <w:rFonts w:ascii="Times New Roman"/>
          <w:b w:val="false"/>
          <w:i w:val="false"/>
          <w:color w:val="000000"/>
          <w:sz w:val="28"/>
        </w:rPr>
        <w:t>
      В отношении физических и юридических лиц кредитная политика определяет случаи (выдача банковских гарантий, аккредитивов, банковских гарантий, выпущенных под банковскую контргарантию, а также займов, обеспеченных высоколиквидными активами), при которых не применяется анализ кредитоспособности заемщика. Для банков, являющихся дочерними организациями банков-нерезидентов Республики Казахстан, имеющих долгосрочный кредитный рейтинг в иностранной валюте не ниже "A-" по международной шкале агентства Standard &amp; Poor's (Стандард энд Пурс) или рейтинг аналогичного уровня одного из других рейтинговых агентств, допускается использование анализа кредитоспособности на уровне родительской организации заемщика или организации, включающей заемщика в консолидированную финансовую отчетность, проведенного родительским банком или аффилированным по отношению к банку лицом, при условии, что анализ осуществлен не позднее 12 (двенадцати) месяцев c даты обращения заемщика;</w:t>
      </w:r>
    </w:p>
    <w:bookmarkEnd w:id="326"/>
    <w:bookmarkStart w:name="z348" w:id="327"/>
    <w:p>
      <w:pPr>
        <w:spacing w:after="0"/>
        <w:ind w:left="0"/>
        <w:jc w:val="both"/>
      </w:pPr>
      <w:r>
        <w:rPr>
          <w:rFonts w:ascii="Times New Roman"/>
          <w:b w:val="false"/>
          <w:i w:val="false"/>
          <w:color w:val="000000"/>
          <w:sz w:val="28"/>
        </w:rPr>
        <w:t xml:space="preserve">
      внутренний порядок принятия кредитных решений в отношении реструктуризации займов, который основан на принципах обоснованности, целесообразности и независимости, и включает описание случаев и условий реструктуризации займов. Банк определяет случаи и виды реструктуризации в соответствии с требованиями </w:t>
      </w:r>
      <w:r>
        <w:rPr>
          <w:rFonts w:ascii="Times New Roman"/>
          <w:b w:val="false"/>
          <w:i w:val="false"/>
          <w:color w:val="000000"/>
          <w:sz w:val="28"/>
        </w:rPr>
        <w:t>постановления</w:t>
      </w:r>
      <w:r>
        <w:rPr>
          <w:rFonts w:ascii="Times New Roman"/>
          <w:b w:val="false"/>
          <w:i w:val="false"/>
          <w:color w:val="000000"/>
          <w:sz w:val="28"/>
        </w:rPr>
        <w:t xml:space="preserve"> Правления Национального Банка Республики Казахстан от 22 декабря 2017 года № 269 "Об утверждении Правил создания провизий (резервов)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зарегистрированного в Реестре государственной регистрации нормативных правовых актов под № 16502 (далее – Постановление № 269).</w:t>
      </w:r>
    </w:p>
    <w:bookmarkEnd w:id="327"/>
    <w:bookmarkStart w:name="z349" w:id="328"/>
    <w:p>
      <w:pPr>
        <w:spacing w:after="0"/>
        <w:ind w:left="0"/>
        <w:jc w:val="both"/>
      </w:pPr>
      <w:r>
        <w:rPr>
          <w:rFonts w:ascii="Times New Roman"/>
          <w:b w:val="false"/>
          <w:i w:val="false"/>
          <w:color w:val="000000"/>
          <w:sz w:val="28"/>
        </w:rPr>
        <w:t>
      Банк принимает решение о реструктуризации займов по заемщикам с учетом наличия перспектив погашения займа после реструктуризации.</w:t>
      </w:r>
    </w:p>
    <w:bookmarkEnd w:id="328"/>
    <w:bookmarkStart w:name="z350" w:id="329"/>
    <w:p>
      <w:pPr>
        <w:spacing w:after="0"/>
        <w:ind w:left="0"/>
        <w:jc w:val="both"/>
      </w:pPr>
      <w:r>
        <w:rPr>
          <w:rFonts w:ascii="Times New Roman"/>
          <w:b w:val="false"/>
          <w:i w:val="false"/>
          <w:color w:val="000000"/>
          <w:sz w:val="28"/>
        </w:rPr>
        <w:t xml:space="preserve">
      Решение о проведении вынужденной реструктуризации займов, определяемой в соответствии с требованиями </w:t>
      </w:r>
      <w:r>
        <w:rPr>
          <w:rFonts w:ascii="Times New Roman"/>
          <w:b w:val="false"/>
          <w:i w:val="false"/>
          <w:color w:val="000000"/>
          <w:sz w:val="28"/>
        </w:rPr>
        <w:t>Постановления № 269</w:t>
      </w:r>
      <w:r>
        <w:rPr>
          <w:rFonts w:ascii="Times New Roman"/>
          <w:b w:val="false"/>
          <w:i w:val="false"/>
          <w:color w:val="000000"/>
          <w:sz w:val="28"/>
        </w:rPr>
        <w:t>, (по заемщикам и (или) группе взаимосвязанных заемщиков, общая задолженность, включая условные обязательства, которых превышает 1 (один) процент от собственного капитала банка, размер которого выше 100 (ста) миллиардов тенге, или 2 (два) процента от собственного капитала банка, размер которого до 100 (ста) миллиардов тенге) принимается правлением банка или уполномоченным коллегиальным органом банка, в состав которого входит председатель правления банка. Информация о принятых решениях на ежеквартальной основе направляется членам совета директоров банка;</w:t>
      </w:r>
    </w:p>
    <w:bookmarkEnd w:id="329"/>
    <w:bookmarkStart w:name="z351" w:id="330"/>
    <w:p>
      <w:pPr>
        <w:spacing w:after="0"/>
        <w:ind w:left="0"/>
        <w:jc w:val="both"/>
      </w:pPr>
      <w:r>
        <w:rPr>
          <w:rFonts w:ascii="Times New Roman"/>
          <w:b w:val="false"/>
          <w:i w:val="false"/>
          <w:color w:val="000000"/>
          <w:sz w:val="28"/>
        </w:rPr>
        <w:t>
      приемлемые методы управления кредитным риском, учитывающие (но, не ограничиваясь ими) следующие факторы:</w:t>
      </w:r>
    </w:p>
    <w:bookmarkEnd w:id="330"/>
    <w:bookmarkStart w:name="z352" w:id="331"/>
    <w:p>
      <w:pPr>
        <w:spacing w:after="0"/>
        <w:ind w:left="0"/>
        <w:jc w:val="both"/>
      </w:pPr>
      <w:r>
        <w:rPr>
          <w:rFonts w:ascii="Times New Roman"/>
          <w:b w:val="false"/>
          <w:i w:val="false"/>
          <w:color w:val="000000"/>
          <w:sz w:val="28"/>
        </w:rPr>
        <w:t>
      собственные знания и опыт в использовании метода;</w:t>
      </w:r>
    </w:p>
    <w:bookmarkEnd w:id="331"/>
    <w:bookmarkStart w:name="z353" w:id="332"/>
    <w:p>
      <w:pPr>
        <w:spacing w:after="0"/>
        <w:ind w:left="0"/>
        <w:jc w:val="both"/>
      </w:pPr>
      <w:r>
        <w:rPr>
          <w:rFonts w:ascii="Times New Roman"/>
          <w:b w:val="false"/>
          <w:i w:val="false"/>
          <w:color w:val="000000"/>
          <w:sz w:val="28"/>
        </w:rPr>
        <w:t>
      экономическую эффективность;</w:t>
      </w:r>
    </w:p>
    <w:bookmarkEnd w:id="332"/>
    <w:bookmarkStart w:name="z354" w:id="333"/>
    <w:p>
      <w:pPr>
        <w:spacing w:after="0"/>
        <w:ind w:left="0"/>
        <w:jc w:val="both"/>
      </w:pPr>
      <w:r>
        <w:rPr>
          <w:rFonts w:ascii="Times New Roman"/>
          <w:b w:val="false"/>
          <w:i w:val="false"/>
          <w:color w:val="000000"/>
          <w:sz w:val="28"/>
        </w:rPr>
        <w:t>
      тип заемщика и (или) контрагентов, их финансовое состояние;</w:t>
      </w:r>
    </w:p>
    <w:bookmarkEnd w:id="333"/>
    <w:bookmarkStart w:name="z355" w:id="334"/>
    <w:p>
      <w:pPr>
        <w:spacing w:after="0"/>
        <w:ind w:left="0"/>
        <w:jc w:val="both"/>
      </w:pPr>
      <w:r>
        <w:rPr>
          <w:rFonts w:ascii="Times New Roman"/>
          <w:b w:val="false"/>
          <w:i w:val="false"/>
          <w:color w:val="000000"/>
          <w:sz w:val="28"/>
        </w:rPr>
        <w:t>
      3) банк осуществляет кредитную деятельность в соответствии с внутренними документами, регламентирующими совершение операций, которым присущ кредитный риск, который включает, но не ограничиваясь, следующее:</w:t>
      </w:r>
    </w:p>
    <w:bookmarkEnd w:id="334"/>
    <w:bookmarkStart w:name="z356" w:id="335"/>
    <w:p>
      <w:pPr>
        <w:spacing w:after="0"/>
        <w:ind w:left="0"/>
        <w:jc w:val="both"/>
      </w:pPr>
      <w:r>
        <w:rPr>
          <w:rFonts w:ascii="Times New Roman"/>
          <w:b w:val="false"/>
          <w:i w:val="false"/>
          <w:color w:val="000000"/>
          <w:sz w:val="28"/>
        </w:rPr>
        <w:t>
      условия предоставления кредитов физическим и юридическим лицам (в том числе лицам, связанным с банком особыми отношениями и работникам банка) по каждому виду кредитования, включая требования к потенциальным заемщикам и (или) контрагентам;</w:t>
      </w:r>
    </w:p>
    <w:bookmarkEnd w:id="335"/>
    <w:bookmarkStart w:name="z357" w:id="336"/>
    <w:p>
      <w:pPr>
        <w:spacing w:after="0"/>
        <w:ind w:left="0"/>
        <w:jc w:val="both"/>
      </w:pPr>
      <w:r>
        <w:rPr>
          <w:rFonts w:ascii="Times New Roman"/>
          <w:b w:val="false"/>
          <w:i w:val="false"/>
          <w:color w:val="000000"/>
          <w:sz w:val="28"/>
        </w:rPr>
        <w:t>
      требования к информации заемщика и (или) контрагента, в том числе финансовой и иной информации, необходимой для принятия решения о выдаче кредита;</w:t>
      </w:r>
    </w:p>
    <w:bookmarkEnd w:id="336"/>
    <w:bookmarkStart w:name="z358" w:id="337"/>
    <w:p>
      <w:pPr>
        <w:spacing w:after="0"/>
        <w:ind w:left="0"/>
        <w:jc w:val="both"/>
      </w:pPr>
      <w:r>
        <w:rPr>
          <w:rFonts w:ascii="Times New Roman"/>
          <w:b w:val="false"/>
          <w:i w:val="false"/>
          <w:color w:val="000000"/>
          <w:sz w:val="28"/>
        </w:rPr>
        <w:t>
      внутренний порядок корпоративного кредитования, предусматривающий анализ сектора кредитования, кредитную историю заемщика, а также рейтинговую систему на основе количественных и качественных факторов, позволяющих обеспечивать детализированную оценку качества кредитов;</w:t>
      </w:r>
    </w:p>
    <w:bookmarkEnd w:id="337"/>
    <w:bookmarkStart w:name="z359" w:id="338"/>
    <w:p>
      <w:pPr>
        <w:spacing w:after="0"/>
        <w:ind w:left="0"/>
        <w:jc w:val="both"/>
      </w:pPr>
      <w:r>
        <w:rPr>
          <w:rFonts w:ascii="Times New Roman"/>
          <w:b w:val="false"/>
          <w:i w:val="false"/>
          <w:color w:val="000000"/>
          <w:sz w:val="28"/>
        </w:rPr>
        <w:t>
      методологию кредитного скоринга или анализа платежеспособности и кредитоспособности заемщика, основанного на количественных и качественных характеристиках, и внутренний порядок его использования;</w:t>
      </w:r>
    </w:p>
    <w:bookmarkEnd w:id="338"/>
    <w:bookmarkStart w:name="z360" w:id="339"/>
    <w:p>
      <w:pPr>
        <w:spacing w:after="0"/>
        <w:ind w:left="0"/>
        <w:jc w:val="both"/>
      </w:pPr>
      <w:r>
        <w:rPr>
          <w:rFonts w:ascii="Times New Roman"/>
          <w:b w:val="false"/>
          <w:i w:val="false"/>
          <w:color w:val="000000"/>
          <w:sz w:val="28"/>
        </w:rPr>
        <w:t>
      установление минимального допустимого уровня рейтинга (при наличии), при котором выдается кредит;</w:t>
      </w:r>
    </w:p>
    <w:bookmarkEnd w:id="339"/>
    <w:bookmarkStart w:name="z361" w:id="340"/>
    <w:p>
      <w:pPr>
        <w:spacing w:after="0"/>
        <w:ind w:left="0"/>
        <w:jc w:val="both"/>
      </w:pPr>
      <w:r>
        <w:rPr>
          <w:rFonts w:ascii="Times New Roman"/>
          <w:b w:val="false"/>
          <w:i w:val="false"/>
          <w:color w:val="000000"/>
          <w:sz w:val="28"/>
        </w:rPr>
        <w:t>
      внутренний порядок и процедуры одобрения, утверждения, анализа и мониторинга отклонений от кредитной политики, стандартов, процедур, лимитов;</w:t>
      </w:r>
    </w:p>
    <w:bookmarkEnd w:id="340"/>
    <w:bookmarkStart w:name="z362" w:id="341"/>
    <w:p>
      <w:pPr>
        <w:spacing w:after="0"/>
        <w:ind w:left="0"/>
        <w:jc w:val="both"/>
      </w:pPr>
      <w:r>
        <w:rPr>
          <w:rFonts w:ascii="Times New Roman"/>
          <w:b w:val="false"/>
          <w:i w:val="false"/>
          <w:color w:val="000000"/>
          <w:sz w:val="28"/>
        </w:rPr>
        <w:t>
      установление лимитов кредитования и (или) ставок вознаграждения по кредитам с учетом анализа заемщиков, в том числе с учетом, при наличии, рейтингов и (или) скоринговой оценки заемщиков. Лимиты кредитования, в том числе по беззалоговым кредитам, устанавливаются по валютам, отраслям, категориям заемщиков (контрагентов) (финансовые организации, корпоративное, розничное кредитование), продуктам, группам связанных сторон и на одного заемщика;</w:t>
      </w:r>
    </w:p>
    <w:bookmarkEnd w:id="341"/>
    <w:bookmarkStart w:name="z363" w:id="342"/>
    <w:p>
      <w:pPr>
        <w:spacing w:after="0"/>
        <w:ind w:left="0"/>
        <w:jc w:val="both"/>
      </w:pPr>
      <w:r>
        <w:rPr>
          <w:rFonts w:ascii="Times New Roman"/>
          <w:b w:val="false"/>
          <w:i w:val="false"/>
          <w:color w:val="000000"/>
          <w:sz w:val="28"/>
        </w:rPr>
        <w:t>
      внутренний порядок рассмотрения, одобрения заявлений о выдаче кредитов, принятия решений о выдаче (отказе в выдаче), в том числе в отношении кредитования лиц, связанных с банком особыми отношениями;</w:t>
      </w:r>
    </w:p>
    <w:bookmarkEnd w:id="342"/>
    <w:bookmarkStart w:name="z364" w:id="343"/>
    <w:p>
      <w:pPr>
        <w:spacing w:after="0"/>
        <w:ind w:left="0"/>
        <w:jc w:val="both"/>
      </w:pPr>
      <w:r>
        <w:rPr>
          <w:rFonts w:ascii="Times New Roman"/>
          <w:b w:val="false"/>
          <w:i w:val="false"/>
          <w:color w:val="000000"/>
          <w:sz w:val="28"/>
        </w:rPr>
        <w:t>
      внутренний порядок в отношении залогового обеспечения, определяющий:</w:t>
      </w:r>
    </w:p>
    <w:bookmarkEnd w:id="343"/>
    <w:bookmarkStart w:name="z365" w:id="344"/>
    <w:p>
      <w:pPr>
        <w:spacing w:after="0"/>
        <w:ind w:left="0"/>
        <w:jc w:val="both"/>
      </w:pPr>
      <w:r>
        <w:rPr>
          <w:rFonts w:ascii="Times New Roman"/>
          <w:b w:val="false"/>
          <w:i w:val="false"/>
          <w:color w:val="000000"/>
          <w:sz w:val="28"/>
        </w:rPr>
        <w:t>
      виды залога и критерии их приемлемости для отдельных продуктов банка, в том числе для принятия решения о возможности кредитования заемщика;</w:t>
      </w:r>
    </w:p>
    <w:bookmarkEnd w:id="344"/>
    <w:bookmarkStart w:name="z366" w:id="345"/>
    <w:p>
      <w:pPr>
        <w:spacing w:after="0"/>
        <w:ind w:left="0"/>
        <w:jc w:val="both"/>
      </w:pPr>
      <w:r>
        <w:rPr>
          <w:rFonts w:ascii="Times New Roman"/>
          <w:b w:val="false"/>
          <w:i w:val="false"/>
          <w:color w:val="000000"/>
          <w:sz w:val="28"/>
        </w:rPr>
        <w:t>
      требования к структуре залога в зависимости от вида залога и вида банковского продукта;</w:t>
      </w:r>
    </w:p>
    <w:bookmarkEnd w:id="345"/>
    <w:bookmarkStart w:name="z367" w:id="346"/>
    <w:p>
      <w:pPr>
        <w:spacing w:after="0"/>
        <w:ind w:left="0"/>
        <w:jc w:val="both"/>
      </w:pPr>
      <w:r>
        <w:rPr>
          <w:rFonts w:ascii="Times New Roman"/>
          <w:b w:val="false"/>
          <w:i w:val="false"/>
          <w:color w:val="000000"/>
          <w:sz w:val="28"/>
        </w:rPr>
        <w:t>
      лимиты по видам залога в зависимости от вида продуктов и структуры кредитного портфеля банка;</w:t>
      </w:r>
    </w:p>
    <w:bookmarkEnd w:id="346"/>
    <w:bookmarkStart w:name="z368" w:id="347"/>
    <w:p>
      <w:pPr>
        <w:spacing w:after="0"/>
        <w:ind w:left="0"/>
        <w:jc w:val="both"/>
      </w:pPr>
      <w:r>
        <w:rPr>
          <w:rFonts w:ascii="Times New Roman"/>
          <w:b w:val="false"/>
          <w:i w:val="false"/>
          <w:color w:val="000000"/>
          <w:sz w:val="28"/>
        </w:rPr>
        <w:t>
      определение ликвидного и высоколиквидного залога;</w:t>
      </w:r>
    </w:p>
    <w:bookmarkEnd w:id="347"/>
    <w:bookmarkStart w:name="z369" w:id="348"/>
    <w:p>
      <w:pPr>
        <w:spacing w:after="0"/>
        <w:ind w:left="0"/>
        <w:jc w:val="both"/>
      </w:pPr>
      <w:r>
        <w:rPr>
          <w:rFonts w:ascii="Times New Roman"/>
          <w:b w:val="false"/>
          <w:i w:val="false"/>
          <w:color w:val="000000"/>
          <w:sz w:val="28"/>
        </w:rPr>
        <w:t>
      долю ликвидного залога в общей структуре обеспечения, коэффициент, характеризующий отношение суммы займа к стоимости залога (наименьшая стоимость из оценки залога оценщиком и работниками подразделения залоговой службы (при наличии обоих) либо имеющаяся оценка);</w:t>
      </w:r>
    </w:p>
    <w:bookmarkEnd w:id="348"/>
    <w:bookmarkStart w:name="z370" w:id="349"/>
    <w:p>
      <w:pPr>
        <w:spacing w:after="0"/>
        <w:ind w:left="0"/>
        <w:jc w:val="both"/>
      </w:pPr>
      <w:r>
        <w:rPr>
          <w:rFonts w:ascii="Times New Roman"/>
          <w:b w:val="false"/>
          <w:i w:val="false"/>
          <w:color w:val="000000"/>
          <w:sz w:val="28"/>
        </w:rPr>
        <w:t>
      долю высоколиквидного залога в общей структуре обеспечения, коэффициент, характеризующий отношение суммы займа к стоимости залога (наименьшая стоимость из оценки залога оценщиком и работниками подразделения залоговой службы (при наличии обоих) либо имеющаяся оценка);</w:t>
      </w:r>
    </w:p>
    <w:bookmarkEnd w:id="349"/>
    <w:bookmarkStart w:name="z371" w:id="350"/>
    <w:p>
      <w:pPr>
        <w:spacing w:after="0"/>
        <w:ind w:left="0"/>
        <w:jc w:val="both"/>
      </w:pPr>
      <w:r>
        <w:rPr>
          <w:rFonts w:ascii="Times New Roman"/>
          <w:b w:val="false"/>
          <w:i w:val="false"/>
          <w:color w:val="000000"/>
          <w:sz w:val="28"/>
        </w:rPr>
        <w:t>
      требования к проведению осмотра залога в рамках принятия залога и выдачи займа, в том числе с определением требований к использованию специальных технических средств (допускается выборочный подход к проведению осмотра в рамках ипотечного кредитования, с обеспечением независимой выборки не менее 20 (двадцати) процентов от общего количества всех залогов);</w:t>
      </w:r>
    </w:p>
    <w:bookmarkEnd w:id="350"/>
    <w:bookmarkStart w:name="z372" w:id="351"/>
    <w:p>
      <w:pPr>
        <w:spacing w:after="0"/>
        <w:ind w:left="0"/>
        <w:jc w:val="both"/>
      </w:pPr>
      <w:r>
        <w:rPr>
          <w:rFonts w:ascii="Times New Roman"/>
          <w:b w:val="false"/>
          <w:i w:val="false"/>
          <w:color w:val="000000"/>
          <w:sz w:val="28"/>
        </w:rPr>
        <w:t>
      порядок мониторинга и работы с залоговым обеспечением с установлением требований в зависимости от вида залога;</w:t>
      </w:r>
    </w:p>
    <w:bookmarkEnd w:id="351"/>
    <w:bookmarkStart w:name="z373" w:id="352"/>
    <w:p>
      <w:pPr>
        <w:spacing w:after="0"/>
        <w:ind w:left="0"/>
        <w:jc w:val="both"/>
      </w:pPr>
      <w:r>
        <w:rPr>
          <w:rFonts w:ascii="Times New Roman"/>
          <w:b w:val="false"/>
          <w:i w:val="false"/>
          <w:color w:val="000000"/>
          <w:sz w:val="28"/>
        </w:rPr>
        <w:t>
      требования к переоценке залогового имущества;</w:t>
      </w:r>
    </w:p>
    <w:bookmarkEnd w:id="352"/>
    <w:bookmarkStart w:name="z374" w:id="353"/>
    <w:p>
      <w:pPr>
        <w:spacing w:after="0"/>
        <w:ind w:left="0"/>
        <w:jc w:val="both"/>
      </w:pPr>
      <w:r>
        <w:rPr>
          <w:rFonts w:ascii="Times New Roman"/>
          <w:b w:val="false"/>
          <w:i w:val="false"/>
          <w:color w:val="000000"/>
          <w:sz w:val="28"/>
        </w:rPr>
        <w:t>
      процедуры, обеспечивающие юридическую силу залогов, в том числе требования к регистрации залога в зависимости от вида залога и вида продукта банка;</w:t>
      </w:r>
    </w:p>
    <w:bookmarkEnd w:id="353"/>
    <w:bookmarkStart w:name="z375" w:id="354"/>
    <w:p>
      <w:pPr>
        <w:spacing w:after="0"/>
        <w:ind w:left="0"/>
        <w:jc w:val="both"/>
      </w:pPr>
      <w:r>
        <w:rPr>
          <w:rFonts w:ascii="Times New Roman"/>
          <w:b w:val="false"/>
          <w:i w:val="false"/>
          <w:color w:val="000000"/>
          <w:sz w:val="28"/>
        </w:rPr>
        <w:t>
      оперативную оценку достаточности залогового обеспечения, с учетом изменения показателей производственной деятельности заемщика, стоимости и сохранности обеспечения, в том числе, его подверженности иным обстоятельствам, существенно влияющим на его оценку;</w:t>
      </w:r>
    </w:p>
    <w:bookmarkEnd w:id="354"/>
    <w:bookmarkStart w:name="z376" w:id="355"/>
    <w:p>
      <w:pPr>
        <w:spacing w:after="0"/>
        <w:ind w:left="0"/>
        <w:jc w:val="both"/>
      </w:pPr>
      <w:r>
        <w:rPr>
          <w:rFonts w:ascii="Times New Roman"/>
          <w:b w:val="false"/>
          <w:i w:val="false"/>
          <w:color w:val="000000"/>
          <w:sz w:val="28"/>
        </w:rPr>
        <w:t>
      процедуры реализации залогового обеспечения в зависимости от залога и вида продукта банка, включая предельные сроки реализации и взыскания;</w:t>
      </w:r>
    </w:p>
    <w:bookmarkEnd w:id="355"/>
    <w:bookmarkStart w:name="z377" w:id="356"/>
    <w:p>
      <w:pPr>
        <w:spacing w:after="0"/>
        <w:ind w:left="0"/>
        <w:jc w:val="both"/>
      </w:pPr>
      <w:r>
        <w:rPr>
          <w:rFonts w:ascii="Times New Roman"/>
          <w:b w:val="false"/>
          <w:i w:val="false"/>
          <w:color w:val="000000"/>
          <w:sz w:val="28"/>
        </w:rPr>
        <w:t>
      объективность (адекватность) оценки стоимости залогового обеспечения со стороны оценщиков, за исключением случая, когда совокупная сумма предоставленных займов и условных обязательств заемщику не превышает 0,1 (ноль целых одну десятую) процента от собственного капитала банка и объектом оценки является недвижимость в городах республиканского значения и в городах, являющихся областными центрами;</w:t>
      </w:r>
    </w:p>
    <w:bookmarkEnd w:id="356"/>
    <w:bookmarkStart w:name="z378" w:id="357"/>
    <w:p>
      <w:pPr>
        <w:spacing w:after="0"/>
        <w:ind w:left="0"/>
        <w:jc w:val="both"/>
      </w:pPr>
      <w:r>
        <w:rPr>
          <w:rFonts w:ascii="Times New Roman"/>
          <w:b w:val="false"/>
          <w:i w:val="false"/>
          <w:color w:val="000000"/>
          <w:sz w:val="28"/>
        </w:rPr>
        <w:t>
      требования к установлению дисконтов по отношению к стоимости залога, определенной оценщиком в зависимости от различных параметров (некорректный подход к оценке, наличие аффилированности оценщика и заемщика, наличие аффилированности оценщика и банка, в том числе сотрудников залоговой службы) и ликвидности залогового обеспечения.</w:t>
      </w:r>
    </w:p>
    <w:bookmarkEnd w:id="357"/>
    <w:bookmarkStart w:name="z379" w:id="358"/>
    <w:p>
      <w:pPr>
        <w:spacing w:after="0"/>
        <w:ind w:left="0"/>
        <w:jc w:val="both"/>
      </w:pPr>
      <w:r>
        <w:rPr>
          <w:rFonts w:ascii="Times New Roman"/>
          <w:b w:val="false"/>
          <w:i w:val="false"/>
          <w:color w:val="000000"/>
          <w:sz w:val="28"/>
        </w:rPr>
        <w:t>
      Банк при принятии решения о выдаче займа, залогом по которому выступает недвижимое имущество и нематериальные активы (права недропользования), рассматривает результаты оценки. В случае, когда рыночная стоимость, определенная на дату последней оценки оценщиком, составляет более 100 000 (ста тысяч) месячных расчетных показателей, для прав недропользования более 500 000 (пяти ста тысяч) месячных расчетных показателей, банк обеспечивает (не реже 1 (одного) раза в год) проведение оценки залога оценщиком.</w:t>
      </w:r>
    </w:p>
    <w:bookmarkEnd w:id="358"/>
    <w:bookmarkStart w:name="z380" w:id="359"/>
    <w:p>
      <w:pPr>
        <w:spacing w:after="0"/>
        <w:ind w:left="0"/>
        <w:jc w:val="both"/>
      </w:pPr>
      <w:r>
        <w:rPr>
          <w:rFonts w:ascii="Times New Roman"/>
          <w:b w:val="false"/>
          <w:i w:val="false"/>
          <w:color w:val="000000"/>
          <w:sz w:val="28"/>
        </w:rPr>
        <w:t xml:space="preserve">
      Банк обеспечивает регистрацию залога вне зависимости от его вида в уполномоченном регистрирующем органе в случае наличия признаков значительного увеличения кредитного риска в соответствии с МСФО, а также требованиями </w:t>
      </w:r>
      <w:r>
        <w:rPr>
          <w:rFonts w:ascii="Times New Roman"/>
          <w:b w:val="false"/>
          <w:i w:val="false"/>
          <w:color w:val="000000"/>
          <w:sz w:val="28"/>
        </w:rPr>
        <w:t>Постановления № 269</w:t>
      </w:r>
      <w:r>
        <w:rPr>
          <w:rFonts w:ascii="Times New Roman"/>
          <w:b w:val="false"/>
          <w:i w:val="false"/>
          <w:color w:val="000000"/>
          <w:sz w:val="28"/>
        </w:rPr>
        <w:t xml:space="preserve"> по залогам, рыночная стоимость которых на дату последней оценки оценщиком составляет более 100 000 (ста тысяч) месячных расчетных показателей, по правам недропользования - более 500 000 (пяти ста тысяч) месячных расчетных показателей.</w:t>
      </w:r>
    </w:p>
    <w:bookmarkEnd w:id="359"/>
    <w:bookmarkStart w:name="z381" w:id="360"/>
    <w:p>
      <w:pPr>
        <w:spacing w:after="0"/>
        <w:ind w:left="0"/>
        <w:jc w:val="both"/>
      </w:pPr>
      <w:r>
        <w:rPr>
          <w:rFonts w:ascii="Times New Roman"/>
          <w:b w:val="false"/>
          <w:i w:val="false"/>
          <w:color w:val="000000"/>
          <w:sz w:val="28"/>
        </w:rPr>
        <w:t>
      Внутренний порядок оценки объективности (адекватности) оценки стоимости залогового обеспечения со стороны работников банка обеспечивает, но не ограничиваясь, использование корректных подходов к оценке, включая четкую формализацию требований к допустимым подходам к оценке при формировании внутренней оценки банка, а именно:</w:t>
      </w:r>
    </w:p>
    <w:bookmarkEnd w:id="360"/>
    <w:bookmarkStart w:name="z382" w:id="361"/>
    <w:p>
      <w:pPr>
        <w:spacing w:after="0"/>
        <w:ind w:left="0"/>
        <w:jc w:val="both"/>
      </w:pPr>
      <w:r>
        <w:rPr>
          <w:rFonts w:ascii="Times New Roman"/>
          <w:b w:val="false"/>
          <w:i w:val="false"/>
          <w:color w:val="000000"/>
          <w:sz w:val="28"/>
        </w:rPr>
        <w:t>
      в рамках данного подхода устанавливается порядок применения различных подходов оценки в зависимости вида залога;</w:t>
      </w:r>
    </w:p>
    <w:bookmarkEnd w:id="361"/>
    <w:bookmarkStart w:name="z383" w:id="362"/>
    <w:p>
      <w:pPr>
        <w:spacing w:after="0"/>
        <w:ind w:left="0"/>
        <w:jc w:val="both"/>
      </w:pPr>
      <w:r>
        <w:rPr>
          <w:rFonts w:ascii="Times New Roman"/>
          <w:b w:val="false"/>
          <w:i w:val="false"/>
          <w:color w:val="000000"/>
          <w:sz w:val="28"/>
        </w:rPr>
        <w:t>
      в случае применения экспертных оценок при оценке стоимости залога обеспечивается регламентированный процесс с указанием лимитов применения таких оценок;</w:t>
      </w:r>
    </w:p>
    <w:bookmarkEnd w:id="362"/>
    <w:bookmarkStart w:name="z384" w:id="363"/>
    <w:p>
      <w:pPr>
        <w:spacing w:after="0"/>
        <w:ind w:left="0"/>
        <w:jc w:val="both"/>
      </w:pPr>
      <w:r>
        <w:rPr>
          <w:rFonts w:ascii="Times New Roman"/>
          <w:b w:val="false"/>
          <w:i w:val="false"/>
          <w:color w:val="000000"/>
          <w:sz w:val="28"/>
        </w:rPr>
        <w:t>
      в рамках доходного подхода при отрицательных операционных денежных потоках или отрицательном значении EBITDA (прибыль до вычета расходов по выплате процентов, налогов, износа и начисленной амортизации) по объекту за последние 4 (четыре) квартала либо за завершившийся календарный год не допускается применение подхода на основе дисконтированных денежных потоков. Данное требование не распространяется на случаи:</w:t>
      </w:r>
    </w:p>
    <w:bookmarkEnd w:id="363"/>
    <w:bookmarkStart w:name="z385" w:id="364"/>
    <w:p>
      <w:pPr>
        <w:spacing w:after="0"/>
        <w:ind w:left="0"/>
        <w:jc w:val="both"/>
      </w:pPr>
      <w:r>
        <w:rPr>
          <w:rFonts w:ascii="Times New Roman"/>
          <w:b w:val="false"/>
          <w:i w:val="false"/>
          <w:color w:val="000000"/>
          <w:sz w:val="28"/>
        </w:rPr>
        <w:t>
      оценки компании в инвестиционной стадии, а также если на балансе оцениваемой компании имеются активы, в том числе контракты, способные генерировать денежный поток;</w:t>
      </w:r>
    </w:p>
    <w:bookmarkEnd w:id="364"/>
    <w:bookmarkStart w:name="z386" w:id="365"/>
    <w:p>
      <w:pPr>
        <w:spacing w:after="0"/>
        <w:ind w:left="0"/>
        <w:jc w:val="both"/>
      </w:pPr>
      <w:r>
        <w:rPr>
          <w:rFonts w:ascii="Times New Roman"/>
          <w:b w:val="false"/>
          <w:i w:val="false"/>
          <w:color w:val="000000"/>
          <w:sz w:val="28"/>
        </w:rPr>
        <w:t>
      оценки объектов, способных генерировать денежный поток при наличии подтверждающей информаций или рыночных данных.</w:t>
      </w:r>
    </w:p>
    <w:bookmarkEnd w:id="365"/>
    <w:bookmarkStart w:name="z387" w:id="366"/>
    <w:p>
      <w:pPr>
        <w:spacing w:after="0"/>
        <w:ind w:left="0"/>
        <w:jc w:val="both"/>
      </w:pPr>
      <w:r>
        <w:rPr>
          <w:rFonts w:ascii="Times New Roman"/>
          <w:b w:val="false"/>
          <w:i w:val="false"/>
          <w:color w:val="000000"/>
          <w:sz w:val="28"/>
        </w:rPr>
        <w:t>
      В рамках доходного подхода при расчете стоимости объекта используется ставка дисконтирования, соответствующая уровню риска объекта оценки, расчет которой устанавливается во внутренних документах банка.</w:t>
      </w:r>
    </w:p>
    <w:bookmarkEnd w:id="366"/>
    <w:bookmarkStart w:name="z388" w:id="367"/>
    <w:p>
      <w:pPr>
        <w:spacing w:after="0"/>
        <w:ind w:left="0"/>
        <w:jc w:val="both"/>
      </w:pPr>
      <w:r>
        <w:rPr>
          <w:rFonts w:ascii="Times New Roman"/>
          <w:b w:val="false"/>
          <w:i w:val="false"/>
          <w:color w:val="000000"/>
          <w:sz w:val="28"/>
        </w:rPr>
        <w:t>
      В рамках сравнительного подхода при расчете стоимости объекта используются информация об имеющихся на рынке наиболее актуальных сделках и (или) предложения о продаже объектов, сопоставимых с объектом оценки, а в случае их отсутствия применяются надлежащие корректировки.</w:t>
      </w:r>
    </w:p>
    <w:bookmarkEnd w:id="367"/>
    <w:bookmarkStart w:name="z389" w:id="368"/>
    <w:p>
      <w:pPr>
        <w:spacing w:after="0"/>
        <w:ind w:left="0"/>
        <w:jc w:val="both"/>
      </w:pPr>
      <w:r>
        <w:rPr>
          <w:rFonts w:ascii="Times New Roman"/>
          <w:b w:val="false"/>
          <w:i w:val="false"/>
          <w:color w:val="000000"/>
          <w:sz w:val="28"/>
        </w:rPr>
        <w:t>
      Внутренний порядок оценки объективности (адекватности) оценки стоимости залогового обеспечения, в том числе определенной оценщиком, со стороны подразделения залоговой службы банка, обеспечивает, но не ограничиваясь, четкую формализацию требований к перечню аналогов и критериям признания их сопоставимыми в разрезе:</w:t>
      </w:r>
    </w:p>
    <w:bookmarkEnd w:id="368"/>
    <w:bookmarkStart w:name="z390" w:id="369"/>
    <w:p>
      <w:pPr>
        <w:spacing w:after="0"/>
        <w:ind w:left="0"/>
        <w:jc w:val="both"/>
      </w:pPr>
      <w:r>
        <w:rPr>
          <w:rFonts w:ascii="Times New Roman"/>
          <w:b w:val="false"/>
          <w:i w:val="false"/>
          <w:color w:val="000000"/>
          <w:sz w:val="28"/>
        </w:rPr>
        <w:t>
      типа и (или) подтипа объекта;</w:t>
      </w:r>
    </w:p>
    <w:bookmarkEnd w:id="369"/>
    <w:bookmarkStart w:name="z391" w:id="370"/>
    <w:p>
      <w:pPr>
        <w:spacing w:after="0"/>
        <w:ind w:left="0"/>
        <w:jc w:val="both"/>
      </w:pPr>
      <w:r>
        <w:rPr>
          <w:rFonts w:ascii="Times New Roman"/>
          <w:b w:val="false"/>
          <w:i w:val="false"/>
          <w:color w:val="000000"/>
          <w:sz w:val="28"/>
        </w:rPr>
        <w:t>
      местоположения объекта;</w:t>
      </w:r>
    </w:p>
    <w:bookmarkEnd w:id="370"/>
    <w:bookmarkStart w:name="z392" w:id="371"/>
    <w:p>
      <w:pPr>
        <w:spacing w:after="0"/>
        <w:ind w:left="0"/>
        <w:jc w:val="both"/>
      </w:pPr>
      <w:r>
        <w:rPr>
          <w:rFonts w:ascii="Times New Roman"/>
          <w:b w:val="false"/>
          <w:i w:val="false"/>
          <w:color w:val="000000"/>
          <w:sz w:val="28"/>
        </w:rPr>
        <w:t>
      общей площади объекта;</w:t>
      </w:r>
    </w:p>
    <w:bookmarkEnd w:id="371"/>
    <w:bookmarkStart w:name="z393" w:id="372"/>
    <w:p>
      <w:pPr>
        <w:spacing w:after="0"/>
        <w:ind w:left="0"/>
        <w:jc w:val="both"/>
      </w:pPr>
      <w:r>
        <w:rPr>
          <w:rFonts w:ascii="Times New Roman"/>
          <w:b w:val="false"/>
          <w:i w:val="false"/>
          <w:color w:val="000000"/>
          <w:sz w:val="28"/>
        </w:rPr>
        <w:t>
      состояния помещений, внешнего состояния объекта оценки;</w:t>
      </w:r>
    </w:p>
    <w:bookmarkEnd w:id="372"/>
    <w:bookmarkStart w:name="z394" w:id="373"/>
    <w:p>
      <w:pPr>
        <w:spacing w:after="0"/>
        <w:ind w:left="0"/>
        <w:jc w:val="both"/>
      </w:pPr>
      <w:r>
        <w:rPr>
          <w:rFonts w:ascii="Times New Roman"/>
          <w:b w:val="false"/>
          <w:i w:val="false"/>
          <w:color w:val="000000"/>
          <w:sz w:val="28"/>
        </w:rPr>
        <w:t>
      целевого назначения объекта;</w:t>
      </w:r>
    </w:p>
    <w:bookmarkEnd w:id="373"/>
    <w:bookmarkStart w:name="z395" w:id="374"/>
    <w:p>
      <w:pPr>
        <w:spacing w:after="0"/>
        <w:ind w:left="0"/>
        <w:jc w:val="both"/>
      </w:pPr>
      <w:r>
        <w:rPr>
          <w:rFonts w:ascii="Times New Roman"/>
          <w:b w:val="false"/>
          <w:i w:val="false"/>
          <w:color w:val="000000"/>
          <w:sz w:val="28"/>
        </w:rPr>
        <w:t>
      иных технических характеристик объекта.</w:t>
      </w:r>
    </w:p>
    <w:bookmarkEnd w:id="374"/>
    <w:bookmarkStart w:name="z396" w:id="375"/>
    <w:p>
      <w:pPr>
        <w:spacing w:after="0"/>
        <w:ind w:left="0"/>
        <w:jc w:val="both"/>
      </w:pPr>
      <w:r>
        <w:rPr>
          <w:rFonts w:ascii="Times New Roman"/>
          <w:b w:val="false"/>
          <w:i w:val="false"/>
          <w:color w:val="000000"/>
          <w:sz w:val="28"/>
        </w:rPr>
        <w:t>
      Подразделение залоговой службы по каждому отчету оценщиков готовит заключение по результатам анализа объективности (адекватности) оценки стоимости залогового обеспечения на основании внутреннего порядка.</w:t>
      </w:r>
    </w:p>
    <w:bookmarkEnd w:id="375"/>
    <w:bookmarkStart w:name="z397" w:id="376"/>
    <w:p>
      <w:pPr>
        <w:spacing w:after="0"/>
        <w:ind w:left="0"/>
        <w:jc w:val="both"/>
      </w:pPr>
      <w:r>
        <w:rPr>
          <w:rFonts w:ascii="Times New Roman"/>
          <w:b w:val="false"/>
          <w:i w:val="false"/>
          <w:color w:val="000000"/>
          <w:sz w:val="28"/>
        </w:rPr>
        <w:t>
      Банк разрабатывает внутренний порядок анализа объективности (адекватности) оценки стоимости залогового обеспечения, определенной оценщиком, который обеспечивает, но не ограничиваясь:</w:t>
      </w:r>
    </w:p>
    <w:bookmarkEnd w:id="376"/>
    <w:bookmarkStart w:name="z398" w:id="377"/>
    <w:p>
      <w:pPr>
        <w:spacing w:after="0"/>
        <w:ind w:left="0"/>
        <w:jc w:val="both"/>
      </w:pPr>
      <w:r>
        <w:rPr>
          <w:rFonts w:ascii="Times New Roman"/>
          <w:b w:val="false"/>
          <w:i w:val="false"/>
          <w:color w:val="000000"/>
          <w:sz w:val="28"/>
        </w:rPr>
        <w:t>
      порядок применения подходов оценки в зависимости от вида залога;</w:t>
      </w:r>
    </w:p>
    <w:bookmarkEnd w:id="377"/>
    <w:bookmarkStart w:name="z399" w:id="378"/>
    <w:p>
      <w:pPr>
        <w:spacing w:after="0"/>
        <w:ind w:left="0"/>
        <w:jc w:val="both"/>
      </w:pPr>
      <w:r>
        <w:rPr>
          <w:rFonts w:ascii="Times New Roman"/>
          <w:b w:val="false"/>
          <w:i w:val="false"/>
          <w:color w:val="000000"/>
          <w:sz w:val="28"/>
        </w:rPr>
        <w:t>
      критерии и требования к корректности расчетов оценки;</w:t>
      </w:r>
    </w:p>
    <w:bookmarkEnd w:id="378"/>
    <w:bookmarkStart w:name="z400" w:id="379"/>
    <w:p>
      <w:pPr>
        <w:spacing w:after="0"/>
        <w:ind w:left="0"/>
        <w:jc w:val="both"/>
      </w:pPr>
      <w:r>
        <w:rPr>
          <w:rFonts w:ascii="Times New Roman"/>
          <w:b w:val="false"/>
          <w:i w:val="false"/>
          <w:color w:val="000000"/>
          <w:sz w:val="28"/>
        </w:rPr>
        <w:t>
      требования и ограничения в части использования допущений, корректировок и экспертных суждений;</w:t>
      </w:r>
    </w:p>
    <w:bookmarkEnd w:id="379"/>
    <w:bookmarkStart w:name="z401" w:id="380"/>
    <w:p>
      <w:pPr>
        <w:spacing w:after="0"/>
        <w:ind w:left="0"/>
        <w:jc w:val="both"/>
      </w:pPr>
      <w:r>
        <w:rPr>
          <w:rFonts w:ascii="Times New Roman"/>
          <w:b w:val="false"/>
          <w:i w:val="false"/>
          <w:color w:val="000000"/>
          <w:sz w:val="28"/>
        </w:rPr>
        <w:t>
      наличие детальных и обоснованных расчетов;</w:t>
      </w:r>
    </w:p>
    <w:bookmarkEnd w:id="380"/>
    <w:bookmarkStart w:name="z402" w:id="381"/>
    <w:p>
      <w:pPr>
        <w:spacing w:after="0"/>
        <w:ind w:left="0"/>
        <w:jc w:val="both"/>
      </w:pPr>
      <w:r>
        <w:rPr>
          <w:rFonts w:ascii="Times New Roman"/>
          <w:b w:val="false"/>
          <w:i w:val="false"/>
          <w:color w:val="000000"/>
          <w:sz w:val="28"/>
        </w:rPr>
        <w:t>
      наличие полной информации позволяющей идентифицировать объект залога;</w:t>
      </w:r>
    </w:p>
    <w:bookmarkEnd w:id="381"/>
    <w:bookmarkStart w:name="z403" w:id="382"/>
    <w:p>
      <w:pPr>
        <w:spacing w:after="0"/>
        <w:ind w:left="0"/>
        <w:jc w:val="both"/>
      </w:pPr>
      <w:r>
        <w:rPr>
          <w:rFonts w:ascii="Times New Roman"/>
          <w:b w:val="false"/>
          <w:i w:val="false"/>
          <w:color w:val="000000"/>
          <w:sz w:val="28"/>
        </w:rPr>
        <w:t>
      обязательное проведение осмотра и видео-, фотофиксации предмета залога;</w:t>
      </w:r>
    </w:p>
    <w:bookmarkEnd w:id="382"/>
    <w:bookmarkStart w:name="z404" w:id="383"/>
    <w:p>
      <w:pPr>
        <w:spacing w:after="0"/>
        <w:ind w:left="0"/>
        <w:jc w:val="both"/>
      </w:pPr>
      <w:r>
        <w:rPr>
          <w:rFonts w:ascii="Times New Roman"/>
          <w:b w:val="false"/>
          <w:i w:val="false"/>
          <w:color w:val="000000"/>
          <w:sz w:val="28"/>
        </w:rPr>
        <w:t>
      наличие полного пакета правоустанавливающих документов;</w:t>
      </w:r>
    </w:p>
    <w:bookmarkEnd w:id="383"/>
    <w:bookmarkStart w:name="z405" w:id="384"/>
    <w:p>
      <w:pPr>
        <w:spacing w:after="0"/>
        <w:ind w:left="0"/>
        <w:jc w:val="both"/>
      </w:pPr>
      <w:r>
        <w:rPr>
          <w:rFonts w:ascii="Times New Roman"/>
          <w:b w:val="false"/>
          <w:i w:val="false"/>
          <w:color w:val="000000"/>
          <w:sz w:val="28"/>
        </w:rPr>
        <w:t>
      выявление в отчетах об оценке причин и критериев, повлекших существенное (более 10 (десяти) процентов) различие в стоимостях обеспечения в соответствии с требованиями внутренних документов банка.</w:t>
      </w:r>
    </w:p>
    <w:bookmarkEnd w:id="384"/>
    <w:bookmarkStart w:name="z406" w:id="385"/>
    <w:p>
      <w:pPr>
        <w:spacing w:after="0"/>
        <w:ind w:left="0"/>
        <w:jc w:val="both"/>
      </w:pPr>
      <w:r>
        <w:rPr>
          <w:rFonts w:ascii="Times New Roman"/>
          <w:b w:val="false"/>
          <w:i w:val="false"/>
          <w:color w:val="000000"/>
          <w:sz w:val="28"/>
        </w:rPr>
        <w:t>
      При выявлении в отчетах об оценке существенного (более 10 (десяти) процентов) различия в стоимостях обеспечения банк вносит информацию по обстоятельствам, приведшим к разнице, в статистический журнал стоимости залогового обеспечения.</w:t>
      </w:r>
    </w:p>
    <w:bookmarkEnd w:id="385"/>
    <w:bookmarkStart w:name="z407" w:id="386"/>
    <w:p>
      <w:pPr>
        <w:spacing w:after="0"/>
        <w:ind w:left="0"/>
        <w:jc w:val="both"/>
      </w:pPr>
      <w:r>
        <w:rPr>
          <w:rFonts w:ascii="Times New Roman"/>
          <w:b w:val="false"/>
          <w:i w:val="false"/>
          <w:color w:val="000000"/>
          <w:sz w:val="28"/>
        </w:rPr>
        <w:t>
      Банк проводит анализ отчетов об оценке, информация по которым внесена в статистический журнал стоимости залогового обеспечения, для исключения возможности некорректной оценки залога.</w:t>
      </w:r>
    </w:p>
    <w:bookmarkEnd w:id="386"/>
    <w:bookmarkStart w:name="z408" w:id="387"/>
    <w:p>
      <w:pPr>
        <w:spacing w:after="0"/>
        <w:ind w:left="0"/>
        <w:jc w:val="both"/>
      </w:pPr>
      <w:r>
        <w:rPr>
          <w:rFonts w:ascii="Times New Roman"/>
          <w:b w:val="false"/>
          <w:i w:val="false"/>
          <w:color w:val="000000"/>
          <w:sz w:val="28"/>
        </w:rPr>
        <w:t>
      В рамках принятия решения о выдаче займа банк использует стоимость залога, определенную по итогам оценки объективности (адекватности) стоимости залога, определенной оценщиком с учетом всех параметров.</w:t>
      </w:r>
    </w:p>
    <w:bookmarkEnd w:id="387"/>
    <w:bookmarkStart w:name="z409" w:id="388"/>
    <w:p>
      <w:pPr>
        <w:spacing w:after="0"/>
        <w:ind w:left="0"/>
        <w:jc w:val="both"/>
      </w:pPr>
      <w:r>
        <w:rPr>
          <w:rFonts w:ascii="Times New Roman"/>
          <w:b w:val="false"/>
          <w:i w:val="false"/>
          <w:color w:val="000000"/>
          <w:sz w:val="28"/>
        </w:rPr>
        <w:t>
      Оценка принятых решений на предмет соответствия установленному внутреннему порядку проводится в соответствии с требованиями главы 11 Правил. В случае обнаружения отклонений от установленного внутреннего порядка, заинтересованные подразделения доводят информацию о выявленных отклонениях уполномоченному коллегиальному органу банка. В целях исключения существенных отклонений в деятельности банка уполномоченный коллегиальный орган банка устанавливает ограничения на объем (сумма займа) и (или) на количество отклонений и осуществляет контроль над соблюдением установленных ограничений.</w:t>
      </w:r>
    </w:p>
    <w:bookmarkEnd w:id="388"/>
    <w:bookmarkStart w:name="z410" w:id="389"/>
    <w:p>
      <w:pPr>
        <w:spacing w:after="0"/>
        <w:ind w:left="0"/>
        <w:jc w:val="both"/>
      </w:pPr>
      <w:r>
        <w:rPr>
          <w:rFonts w:ascii="Times New Roman"/>
          <w:b w:val="false"/>
          <w:i w:val="false"/>
          <w:color w:val="000000"/>
          <w:sz w:val="28"/>
        </w:rPr>
        <w:t>
      Банк обеспечивает:</w:t>
      </w:r>
    </w:p>
    <w:bookmarkEnd w:id="389"/>
    <w:bookmarkStart w:name="z411" w:id="390"/>
    <w:p>
      <w:pPr>
        <w:spacing w:after="0"/>
        <w:ind w:left="0"/>
        <w:jc w:val="both"/>
      </w:pPr>
      <w:r>
        <w:rPr>
          <w:rFonts w:ascii="Times New Roman"/>
          <w:b w:val="false"/>
          <w:i w:val="false"/>
          <w:color w:val="000000"/>
          <w:sz w:val="28"/>
        </w:rPr>
        <w:t>
      хранение во внутренних системах банка не менее 5 (пяти) лет после погашения займа и (или) внебалансового обязательства и (или) после того, как заемщик перестал являться клиентом банка данных по залоговому обеспечению на балансе банка, включая оценку его стоимости;</w:t>
      </w:r>
    </w:p>
    <w:bookmarkEnd w:id="390"/>
    <w:bookmarkStart w:name="z412" w:id="391"/>
    <w:p>
      <w:pPr>
        <w:spacing w:after="0"/>
        <w:ind w:left="0"/>
        <w:jc w:val="both"/>
      </w:pPr>
      <w:r>
        <w:rPr>
          <w:rFonts w:ascii="Times New Roman"/>
          <w:b w:val="false"/>
          <w:i w:val="false"/>
          <w:color w:val="000000"/>
          <w:sz w:val="28"/>
        </w:rPr>
        <w:t>
      своевременное обновление данных по залоговому обеспечению в соответствии с внутренними документами банка и автоматический перенос данных в модули, отвечающие за расчет риск-метрик (PD, LGD, EAD), провизий и капитала, а также в модули, отвечающие за автоматическое формирование управленческой, финансовой и регуляторной отчетности;</w:t>
      </w:r>
    </w:p>
    <w:bookmarkEnd w:id="391"/>
    <w:bookmarkStart w:name="z413" w:id="392"/>
    <w:p>
      <w:pPr>
        <w:spacing w:after="0"/>
        <w:ind w:left="0"/>
        <w:jc w:val="both"/>
      </w:pPr>
      <w:r>
        <w:rPr>
          <w:rFonts w:ascii="Times New Roman"/>
          <w:b w:val="false"/>
          <w:i w:val="false"/>
          <w:color w:val="000000"/>
          <w:sz w:val="28"/>
        </w:rPr>
        <w:t>
      автоматическое фиксирование и хранение данных о любых ручных корректировках данных по залоговому обеспечению, включая первичных данных до применения ручных корректировок, данных о лицах, ответственных за применение ручных корректировок.</w:t>
      </w:r>
    </w:p>
    <w:bookmarkEnd w:id="392"/>
    <w:bookmarkStart w:name="z414" w:id="393"/>
    <w:p>
      <w:pPr>
        <w:spacing w:after="0"/>
        <w:ind w:left="0"/>
        <w:jc w:val="both"/>
      </w:pPr>
      <w:r>
        <w:rPr>
          <w:rFonts w:ascii="Times New Roman"/>
          <w:b w:val="false"/>
          <w:i w:val="false"/>
          <w:color w:val="000000"/>
          <w:sz w:val="28"/>
        </w:rPr>
        <w:t>
      Данные по залоговому обеспечению, подлежащие хранению, включают (но не ограничиваясь):</w:t>
      </w:r>
    </w:p>
    <w:bookmarkEnd w:id="393"/>
    <w:bookmarkStart w:name="z415" w:id="394"/>
    <w:p>
      <w:pPr>
        <w:spacing w:after="0"/>
        <w:ind w:left="0"/>
        <w:jc w:val="both"/>
      </w:pPr>
      <w:r>
        <w:rPr>
          <w:rFonts w:ascii="Times New Roman"/>
          <w:b w:val="false"/>
          <w:i w:val="false"/>
          <w:color w:val="000000"/>
          <w:sz w:val="28"/>
        </w:rPr>
        <w:t>
      привязку к внутреннему уникальному идентификатору объекта оценки, бизнес-идентификационному номеру (далее – БИН) или индивидуальному идентификационному номеру (далее – ИИН) и внутренним уникальным идентификаторам (если они отличаются от БИН или ИИН) залогодателя, заемщика, созаемщиков и гарантов и четкое отображение идентификатора групп связанных заемщиков и всех БИН или ИИН связанных заемщиков;</w:t>
      </w:r>
    </w:p>
    <w:bookmarkEnd w:id="394"/>
    <w:bookmarkStart w:name="z416" w:id="395"/>
    <w:p>
      <w:pPr>
        <w:spacing w:after="0"/>
        <w:ind w:left="0"/>
        <w:jc w:val="both"/>
      </w:pPr>
      <w:r>
        <w:rPr>
          <w:rFonts w:ascii="Times New Roman"/>
          <w:b w:val="false"/>
          <w:i w:val="false"/>
          <w:color w:val="000000"/>
          <w:sz w:val="28"/>
        </w:rPr>
        <w:t>
      тип и подтип залогового обеспечения;</w:t>
      </w:r>
    </w:p>
    <w:bookmarkEnd w:id="395"/>
    <w:bookmarkStart w:name="z417" w:id="396"/>
    <w:p>
      <w:pPr>
        <w:spacing w:after="0"/>
        <w:ind w:left="0"/>
        <w:jc w:val="both"/>
      </w:pPr>
      <w:r>
        <w:rPr>
          <w:rFonts w:ascii="Times New Roman"/>
          <w:b w:val="false"/>
          <w:i w:val="false"/>
          <w:color w:val="000000"/>
          <w:sz w:val="28"/>
        </w:rPr>
        <w:t>
      кадастровый номер объекта оценки (если применимо);</w:t>
      </w:r>
    </w:p>
    <w:bookmarkEnd w:id="396"/>
    <w:bookmarkStart w:name="z418" w:id="397"/>
    <w:p>
      <w:pPr>
        <w:spacing w:after="0"/>
        <w:ind w:left="0"/>
        <w:jc w:val="both"/>
      </w:pPr>
      <w:r>
        <w:rPr>
          <w:rFonts w:ascii="Times New Roman"/>
          <w:b w:val="false"/>
          <w:i w:val="false"/>
          <w:color w:val="000000"/>
          <w:sz w:val="28"/>
        </w:rPr>
        <w:t>
      местонахождение объекта оценки (страна, регион, адрес);</w:t>
      </w:r>
    </w:p>
    <w:bookmarkEnd w:id="397"/>
    <w:bookmarkStart w:name="z419" w:id="398"/>
    <w:p>
      <w:pPr>
        <w:spacing w:after="0"/>
        <w:ind w:left="0"/>
        <w:jc w:val="both"/>
      </w:pPr>
      <w:r>
        <w:rPr>
          <w:rFonts w:ascii="Times New Roman"/>
          <w:b w:val="false"/>
          <w:i w:val="false"/>
          <w:color w:val="000000"/>
          <w:sz w:val="28"/>
        </w:rPr>
        <w:t>
      дата прекращения договора залога в системе банка;</w:t>
      </w:r>
    </w:p>
    <w:bookmarkEnd w:id="398"/>
    <w:bookmarkStart w:name="z420" w:id="399"/>
    <w:p>
      <w:pPr>
        <w:spacing w:after="0"/>
        <w:ind w:left="0"/>
        <w:jc w:val="both"/>
      </w:pPr>
      <w:r>
        <w:rPr>
          <w:rFonts w:ascii="Times New Roman"/>
          <w:b w:val="false"/>
          <w:i w:val="false"/>
          <w:color w:val="000000"/>
          <w:sz w:val="28"/>
        </w:rPr>
        <w:t>
      рыночную стоимость до применения дисконтов к залоговому обеспечению;</w:t>
      </w:r>
    </w:p>
    <w:bookmarkEnd w:id="399"/>
    <w:bookmarkStart w:name="z421" w:id="400"/>
    <w:p>
      <w:pPr>
        <w:spacing w:after="0"/>
        <w:ind w:left="0"/>
        <w:jc w:val="both"/>
      </w:pPr>
      <w:r>
        <w:rPr>
          <w:rFonts w:ascii="Times New Roman"/>
          <w:b w:val="false"/>
          <w:i w:val="false"/>
          <w:color w:val="000000"/>
          <w:sz w:val="28"/>
        </w:rPr>
        <w:t>
      дату проведения оценки (переоценки) залогового обеспечения;</w:t>
      </w:r>
    </w:p>
    <w:bookmarkEnd w:id="400"/>
    <w:bookmarkStart w:name="z422" w:id="401"/>
    <w:p>
      <w:pPr>
        <w:spacing w:after="0"/>
        <w:ind w:left="0"/>
        <w:jc w:val="both"/>
      </w:pPr>
      <w:r>
        <w:rPr>
          <w:rFonts w:ascii="Times New Roman"/>
          <w:b w:val="false"/>
          <w:i w:val="false"/>
          <w:color w:val="000000"/>
          <w:sz w:val="28"/>
        </w:rPr>
        <w:t xml:space="preserve">
      примененные дисконты за период не менее 5 (пяти) лет по каждому объекту оценки, в том числе по текущим объектам залога и недвижимости на балансе банка, а также по всем реализованным банком объектам оценки. Среди дисконтов обеспечивается хранение информации о вероятности взыскания и (или) вероятности реализации, ожидаемом сроке до продажи, примененных ставке дисконтирования и индексах, ожидаемых расходах на продажу, значениях дисконта в случае неприменения коэффициентов ликвидности в соответствии с </w:t>
      </w:r>
      <w:r>
        <w:rPr>
          <w:rFonts w:ascii="Times New Roman"/>
          <w:b w:val="false"/>
          <w:i w:val="false"/>
          <w:color w:val="000000"/>
          <w:sz w:val="28"/>
        </w:rPr>
        <w:t>Постановлением № 269</w:t>
      </w:r>
      <w:r>
        <w:rPr>
          <w:rFonts w:ascii="Times New Roman"/>
          <w:b w:val="false"/>
          <w:i w:val="false"/>
          <w:color w:val="000000"/>
          <w:sz w:val="28"/>
        </w:rPr>
        <w:t>;</w:t>
      </w:r>
    </w:p>
    <w:bookmarkEnd w:id="401"/>
    <w:bookmarkStart w:name="z423" w:id="402"/>
    <w:p>
      <w:pPr>
        <w:spacing w:after="0"/>
        <w:ind w:left="0"/>
        <w:jc w:val="both"/>
      </w:pPr>
      <w:r>
        <w:rPr>
          <w:rFonts w:ascii="Times New Roman"/>
          <w:b w:val="false"/>
          <w:i w:val="false"/>
          <w:color w:val="000000"/>
          <w:sz w:val="28"/>
        </w:rPr>
        <w:t>
      рыночную стоимость после учета всех дисконтов, в том числе в эквиваленте в национальной валюте;</w:t>
      </w:r>
    </w:p>
    <w:bookmarkEnd w:id="402"/>
    <w:bookmarkStart w:name="z424" w:id="403"/>
    <w:p>
      <w:pPr>
        <w:spacing w:after="0"/>
        <w:ind w:left="0"/>
        <w:jc w:val="both"/>
      </w:pPr>
      <w:r>
        <w:rPr>
          <w:rFonts w:ascii="Times New Roman"/>
          <w:b w:val="false"/>
          <w:i w:val="false"/>
          <w:color w:val="000000"/>
          <w:sz w:val="28"/>
        </w:rPr>
        <w:t>
      стоимость залогового обеспечения, используемая при расчете провизий;</w:t>
      </w:r>
    </w:p>
    <w:bookmarkEnd w:id="403"/>
    <w:bookmarkStart w:name="z425" w:id="404"/>
    <w:p>
      <w:pPr>
        <w:spacing w:after="0"/>
        <w:ind w:left="0"/>
        <w:jc w:val="both"/>
      </w:pPr>
      <w:r>
        <w:rPr>
          <w:rFonts w:ascii="Times New Roman"/>
          <w:b w:val="false"/>
          <w:i w:val="false"/>
          <w:color w:val="000000"/>
          <w:sz w:val="28"/>
        </w:rPr>
        <w:t>
      флаг обременения объекта оценки;</w:t>
      </w:r>
    </w:p>
    <w:bookmarkEnd w:id="404"/>
    <w:bookmarkStart w:name="z426" w:id="405"/>
    <w:p>
      <w:pPr>
        <w:spacing w:after="0"/>
        <w:ind w:left="0"/>
        <w:jc w:val="both"/>
      </w:pPr>
      <w:r>
        <w:rPr>
          <w:rFonts w:ascii="Times New Roman"/>
          <w:b w:val="false"/>
          <w:i w:val="false"/>
          <w:color w:val="000000"/>
          <w:sz w:val="28"/>
        </w:rPr>
        <w:t>
      очередность обременения объекта оценки;</w:t>
      </w:r>
    </w:p>
    <w:bookmarkEnd w:id="405"/>
    <w:bookmarkStart w:name="z427" w:id="406"/>
    <w:p>
      <w:pPr>
        <w:spacing w:after="0"/>
        <w:ind w:left="0"/>
        <w:jc w:val="both"/>
      </w:pPr>
      <w:r>
        <w:rPr>
          <w:rFonts w:ascii="Times New Roman"/>
          <w:b w:val="false"/>
          <w:i w:val="false"/>
          <w:color w:val="000000"/>
          <w:sz w:val="28"/>
        </w:rPr>
        <w:t>
      сведения о залогодателе, гаранте, поручителе, страховщике (юридическое или физическое лицо, наименование, уникальный идентификатор);</w:t>
      </w:r>
    </w:p>
    <w:bookmarkEnd w:id="406"/>
    <w:bookmarkStart w:name="z428" w:id="407"/>
    <w:p>
      <w:pPr>
        <w:spacing w:after="0"/>
        <w:ind w:left="0"/>
        <w:jc w:val="both"/>
      </w:pPr>
      <w:r>
        <w:rPr>
          <w:rFonts w:ascii="Times New Roman"/>
          <w:b w:val="false"/>
          <w:i w:val="false"/>
          <w:color w:val="000000"/>
          <w:sz w:val="28"/>
        </w:rPr>
        <w:t>
      дату подтверждения наличия обременения объекта оценки;</w:t>
      </w:r>
    </w:p>
    <w:bookmarkEnd w:id="407"/>
    <w:bookmarkStart w:name="z429" w:id="408"/>
    <w:p>
      <w:pPr>
        <w:spacing w:after="0"/>
        <w:ind w:left="0"/>
        <w:jc w:val="both"/>
      </w:pPr>
      <w:r>
        <w:rPr>
          <w:rFonts w:ascii="Times New Roman"/>
          <w:b w:val="false"/>
          <w:i w:val="false"/>
          <w:color w:val="000000"/>
          <w:sz w:val="28"/>
        </w:rPr>
        <w:t>
      старшинство прав требования банка по объекту оценки на уровне заемщика или займа;</w:t>
      </w:r>
    </w:p>
    <w:bookmarkEnd w:id="408"/>
    <w:bookmarkStart w:name="z430" w:id="409"/>
    <w:p>
      <w:pPr>
        <w:spacing w:after="0"/>
        <w:ind w:left="0"/>
        <w:jc w:val="both"/>
      </w:pPr>
      <w:r>
        <w:rPr>
          <w:rFonts w:ascii="Times New Roman"/>
          <w:b w:val="false"/>
          <w:i w:val="false"/>
          <w:color w:val="000000"/>
          <w:sz w:val="28"/>
        </w:rPr>
        <w:t>
      аллоцированную стоимость обеспечения для залогов на уровне заемщика и займа (с указанием доли залогового имущества на каждого заемщика со ссылкой на их уникальные идентификаторы);</w:t>
      </w:r>
    </w:p>
    <w:bookmarkEnd w:id="409"/>
    <w:bookmarkStart w:name="z431" w:id="410"/>
    <w:p>
      <w:pPr>
        <w:spacing w:after="0"/>
        <w:ind w:left="0"/>
        <w:jc w:val="both"/>
      </w:pPr>
      <w:r>
        <w:rPr>
          <w:rFonts w:ascii="Times New Roman"/>
          <w:b w:val="false"/>
          <w:i w:val="false"/>
          <w:color w:val="000000"/>
          <w:sz w:val="28"/>
        </w:rPr>
        <w:t>
      подход к оценке залогового обеспечения;</w:t>
      </w:r>
    </w:p>
    <w:bookmarkEnd w:id="410"/>
    <w:bookmarkStart w:name="z432" w:id="411"/>
    <w:p>
      <w:pPr>
        <w:spacing w:after="0"/>
        <w:ind w:left="0"/>
        <w:jc w:val="both"/>
      </w:pPr>
      <w:r>
        <w:rPr>
          <w:rFonts w:ascii="Times New Roman"/>
          <w:b w:val="false"/>
          <w:i w:val="false"/>
          <w:color w:val="000000"/>
          <w:sz w:val="28"/>
        </w:rPr>
        <w:t>
      используемую единицу площади;</w:t>
      </w:r>
    </w:p>
    <w:bookmarkEnd w:id="411"/>
    <w:bookmarkStart w:name="z433" w:id="412"/>
    <w:p>
      <w:pPr>
        <w:spacing w:after="0"/>
        <w:ind w:left="0"/>
        <w:jc w:val="both"/>
      </w:pPr>
      <w:r>
        <w:rPr>
          <w:rFonts w:ascii="Times New Roman"/>
          <w:b w:val="false"/>
          <w:i w:val="false"/>
          <w:color w:val="000000"/>
          <w:sz w:val="28"/>
        </w:rPr>
        <w:t>
      общую, используемую площадь объекта оценки (если применимо);</w:t>
      </w:r>
    </w:p>
    <w:bookmarkEnd w:id="412"/>
    <w:bookmarkStart w:name="z434" w:id="413"/>
    <w:p>
      <w:pPr>
        <w:spacing w:after="0"/>
        <w:ind w:left="0"/>
        <w:jc w:val="both"/>
      </w:pPr>
      <w:r>
        <w:rPr>
          <w:rFonts w:ascii="Times New Roman"/>
          <w:b w:val="false"/>
          <w:i w:val="false"/>
          <w:color w:val="000000"/>
          <w:sz w:val="28"/>
        </w:rPr>
        <w:t>
      долю площади, сдаваемой в аренду на дату оценки (если применимо);</w:t>
      </w:r>
    </w:p>
    <w:bookmarkEnd w:id="413"/>
    <w:bookmarkStart w:name="z435" w:id="414"/>
    <w:p>
      <w:pPr>
        <w:spacing w:after="0"/>
        <w:ind w:left="0"/>
        <w:jc w:val="both"/>
      </w:pPr>
      <w:r>
        <w:rPr>
          <w:rFonts w:ascii="Times New Roman"/>
          <w:b w:val="false"/>
          <w:i w:val="false"/>
          <w:color w:val="000000"/>
          <w:sz w:val="28"/>
        </w:rPr>
        <w:t>
      долю площади, потенциально доступной для сдачи в аренду (если применимо);</w:t>
      </w:r>
    </w:p>
    <w:bookmarkEnd w:id="414"/>
    <w:bookmarkStart w:name="z436" w:id="415"/>
    <w:p>
      <w:pPr>
        <w:spacing w:after="0"/>
        <w:ind w:left="0"/>
        <w:jc w:val="both"/>
      </w:pPr>
      <w:r>
        <w:rPr>
          <w:rFonts w:ascii="Times New Roman"/>
          <w:b w:val="false"/>
          <w:i w:val="false"/>
          <w:color w:val="000000"/>
          <w:sz w:val="28"/>
        </w:rPr>
        <w:t>
      4) наличие адекватной рейтинговой модели и (или) скоринговой системы.</w:t>
      </w:r>
    </w:p>
    <w:bookmarkEnd w:id="415"/>
    <w:bookmarkStart w:name="z437" w:id="416"/>
    <w:p>
      <w:pPr>
        <w:spacing w:after="0"/>
        <w:ind w:left="0"/>
        <w:jc w:val="both"/>
      </w:pPr>
      <w:r>
        <w:rPr>
          <w:rFonts w:ascii="Times New Roman"/>
          <w:b w:val="false"/>
          <w:i w:val="false"/>
          <w:color w:val="000000"/>
          <w:sz w:val="28"/>
        </w:rPr>
        <w:t>
      Совет директоров банка определяет ответственные подразделения за разработку рейтинговой модели и (или) скоринговой системы, их внедрение, применение и контроль их функционирования. Рейтинговая модель и (или) скоринговая система содержат описание каждого уровня кредитного риска и условия их присвоения. В процессе присвоения кредитного рейтинга заемщика и (или) скорингового балла банк учитывает финансовое состояние заемщика (заемщиков) и иную доступную информацию по заемщику.</w:t>
      </w:r>
    </w:p>
    <w:bookmarkEnd w:id="416"/>
    <w:bookmarkStart w:name="z438" w:id="417"/>
    <w:p>
      <w:pPr>
        <w:spacing w:after="0"/>
        <w:ind w:left="0"/>
        <w:jc w:val="both"/>
      </w:pPr>
      <w:r>
        <w:rPr>
          <w:rFonts w:ascii="Times New Roman"/>
          <w:b w:val="false"/>
          <w:i w:val="false"/>
          <w:color w:val="000000"/>
          <w:sz w:val="28"/>
        </w:rPr>
        <w:t>
      При присвоении кредитного рейтинга заемщика и (или) скорингового балла банк руководствуется актуальной доступной информацией о факторах, влияющих на будущую кредитоспособность и платежеспособность заемщика.</w:t>
      </w:r>
    </w:p>
    <w:bookmarkEnd w:id="417"/>
    <w:bookmarkStart w:name="z439" w:id="418"/>
    <w:p>
      <w:pPr>
        <w:spacing w:after="0"/>
        <w:ind w:left="0"/>
        <w:jc w:val="both"/>
      </w:pPr>
      <w:r>
        <w:rPr>
          <w:rFonts w:ascii="Times New Roman"/>
          <w:b w:val="false"/>
          <w:i w:val="false"/>
          <w:color w:val="000000"/>
          <w:sz w:val="28"/>
        </w:rPr>
        <w:t>
      Присвоенный юридическим лицам кредитный рейтинг подлежит периодическому мониторингу на предмет актуальности. Частота пересмотра увеличивается в случае наличия негативной информации, несущей риск ухудшения финансового состояния заемщика и (или) невозможности погашения обязательств перед банком и иной доступной информации;</w:t>
      </w:r>
    </w:p>
    <w:bookmarkEnd w:id="418"/>
    <w:bookmarkStart w:name="z440" w:id="419"/>
    <w:p>
      <w:pPr>
        <w:spacing w:after="0"/>
        <w:ind w:left="0"/>
        <w:jc w:val="both"/>
      </w:pPr>
      <w:r>
        <w:rPr>
          <w:rFonts w:ascii="Times New Roman"/>
          <w:b w:val="false"/>
          <w:i w:val="false"/>
          <w:color w:val="000000"/>
          <w:sz w:val="28"/>
        </w:rPr>
        <w:t>
      5) наличие адекватной системы классификации активов по уровню кредитного риска.</w:t>
      </w:r>
    </w:p>
    <w:bookmarkEnd w:id="419"/>
    <w:bookmarkStart w:name="z441" w:id="420"/>
    <w:p>
      <w:pPr>
        <w:spacing w:after="0"/>
        <w:ind w:left="0"/>
        <w:jc w:val="both"/>
      </w:pPr>
      <w:r>
        <w:rPr>
          <w:rFonts w:ascii="Times New Roman"/>
          <w:b w:val="false"/>
          <w:i w:val="false"/>
          <w:color w:val="000000"/>
          <w:sz w:val="28"/>
        </w:rPr>
        <w:t>
      В рамках системы классификации активов по уровню кредитного риска банк внедряет и использует комплексные процедуры и информационные системы (в случае отсутствия - программное обеспечение) для мониторинга качества кредитного портфеля. Процедуры и информационные системы включают критерии, которые идентифицируют и выявляют проблемные займы, обеспечивают надлежащий контроль.</w:t>
      </w:r>
    </w:p>
    <w:bookmarkEnd w:id="420"/>
    <w:bookmarkStart w:name="z442" w:id="421"/>
    <w:p>
      <w:pPr>
        <w:spacing w:after="0"/>
        <w:ind w:left="0"/>
        <w:jc w:val="both"/>
      </w:pPr>
      <w:r>
        <w:rPr>
          <w:rFonts w:ascii="Times New Roman"/>
          <w:b w:val="false"/>
          <w:i w:val="false"/>
          <w:color w:val="000000"/>
          <w:sz w:val="28"/>
        </w:rPr>
        <w:t>
      Система классификации активов по уровню кредитного риска обеспечивает предоставление информации для совета директоров, комитетов при совете директоров, правления, иных подразделений банка, участвующих в процессе управления кредитным риском и позволяет оценить уровень кредитного риска банка как в целом по балансу, так и в разрезе каждого актива.</w:t>
      </w:r>
    </w:p>
    <w:bookmarkEnd w:id="421"/>
    <w:bookmarkStart w:name="z443" w:id="422"/>
    <w:p>
      <w:pPr>
        <w:spacing w:after="0"/>
        <w:ind w:left="0"/>
        <w:jc w:val="both"/>
      </w:pPr>
      <w:r>
        <w:rPr>
          <w:rFonts w:ascii="Times New Roman"/>
          <w:b w:val="false"/>
          <w:i w:val="false"/>
          <w:color w:val="000000"/>
          <w:sz w:val="28"/>
        </w:rPr>
        <w:t>
      Система классификации активов по уровню кредитного риска основывается на детальном анализе всех активов (за исключением дебиторской задолженности по неосновной деятельности в сумме, не превышающей 2 (два) процента от собственного капитала банка), которым присущ кредитный риск.</w:t>
      </w:r>
    </w:p>
    <w:bookmarkEnd w:id="422"/>
    <w:bookmarkStart w:name="z444" w:id="423"/>
    <w:p>
      <w:pPr>
        <w:spacing w:after="0"/>
        <w:ind w:left="0"/>
        <w:jc w:val="both"/>
      </w:pPr>
      <w:r>
        <w:rPr>
          <w:rFonts w:ascii="Times New Roman"/>
          <w:b w:val="false"/>
          <w:i w:val="false"/>
          <w:color w:val="000000"/>
          <w:sz w:val="28"/>
        </w:rPr>
        <w:t>
      Детальный анализ активов включает оценку:</w:t>
      </w:r>
    </w:p>
    <w:bookmarkEnd w:id="423"/>
    <w:bookmarkStart w:name="z445" w:id="424"/>
    <w:p>
      <w:pPr>
        <w:spacing w:after="0"/>
        <w:ind w:left="0"/>
        <w:jc w:val="both"/>
      </w:pPr>
      <w:r>
        <w:rPr>
          <w:rFonts w:ascii="Times New Roman"/>
          <w:b w:val="false"/>
          <w:i w:val="false"/>
          <w:color w:val="000000"/>
          <w:sz w:val="28"/>
        </w:rPr>
        <w:t>
      вероятности дефолта по обязательствам заемщика и (или) контрагента (PD);</w:t>
      </w:r>
    </w:p>
    <w:bookmarkEnd w:id="424"/>
    <w:bookmarkStart w:name="z446" w:id="425"/>
    <w:p>
      <w:pPr>
        <w:spacing w:after="0"/>
        <w:ind w:left="0"/>
        <w:jc w:val="both"/>
      </w:pPr>
      <w:r>
        <w:rPr>
          <w:rFonts w:ascii="Times New Roman"/>
          <w:b w:val="false"/>
          <w:i w:val="false"/>
          <w:color w:val="000000"/>
          <w:sz w:val="28"/>
        </w:rPr>
        <w:t>
      размера убытков в случае дефолта заемщика и (или) контрагента (LGD);</w:t>
      </w:r>
    </w:p>
    <w:bookmarkEnd w:id="425"/>
    <w:bookmarkStart w:name="z447" w:id="426"/>
    <w:p>
      <w:pPr>
        <w:spacing w:after="0"/>
        <w:ind w:left="0"/>
        <w:jc w:val="both"/>
      </w:pPr>
      <w:r>
        <w:rPr>
          <w:rFonts w:ascii="Times New Roman"/>
          <w:b w:val="false"/>
          <w:i w:val="false"/>
          <w:color w:val="000000"/>
          <w:sz w:val="28"/>
        </w:rPr>
        <w:t>
      величины обязательств, подверженных дефолту (EAD);</w:t>
      </w:r>
    </w:p>
    <w:bookmarkEnd w:id="426"/>
    <w:bookmarkStart w:name="z448" w:id="427"/>
    <w:p>
      <w:pPr>
        <w:spacing w:after="0"/>
        <w:ind w:left="0"/>
        <w:jc w:val="both"/>
      </w:pPr>
      <w:r>
        <w:rPr>
          <w:rFonts w:ascii="Times New Roman"/>
          <w:b w:val="false"/>
          <w:i w:val="false"/>
          <w:color w:val="000000"/>
          <w:sz w:val="28"/>
        </w:rPr>
        <w:t>
      срока, в течение которого сохраняется позиция по риску;</w:t>
      </w:r>
    </w:p>
    <w:bookmarkEnd w:id="427"/>
    <w:bookmarkStart w:name="z449" w:id="428"/>
    <w:p>
      <w:pPr>
        <w:spacing w:after="0"/>
        <w:ind w:left="0"/>
        <w:jc w:val="both"/>
      </w:pPr>
      <w:r>
        <w:rPr>
          <w:rFonts w:ascii="Times New Roman"/>
          <w:b w:val="false"/>
          <w:i w:val="false"/>
          <w:color w:val="000000"/>
          <w:sz w:val="28"/>
        </w:rPr>
        <w:t>
      стоимости залогового обеспечения и возможность его реализации;</w:t>
      </w:r>
    </w:p>
    <w:bookmarkEnd w:id="428"/>
    <w:bookmarkStart w:name="z450" w:id="429"/>
    <w:p>
      <w:pPr>
        <w:spacing w:after="0"/>
        <w:ind w:left="0"/>
        <w:jc w:val="both"/>
      </w:pPr>
      <w:r>
        <w:rPr>
          <w:rFonts w:ascii="Times New Roman"/>
          <w:b w:val="false"/>
          <w:i w:val="false"/>
          <w:color w:val="000000"/>
          <w:sz w:val="28"/>
        </w:rPr>
        <w:t>
      бизнес-среды и экономических условий.</w:t>
      </w:r>
    </w:p>
    <w:bookmarkEnd w:id="429"/>
    <w:bookmarkStart w:name="z451" w:id="430"/>
    <w:p>
      <w:pPr>
        <w:spacing w:after="0"/>
        <w:ind w:left="0"/>
        <w:jc w:val="both"/>
      </w:pPr>
      <w:r>
        <w:rPr>
          <w:rFonts w:ascii="Times New Roman"/>
          <w:b w:val="false"/>
          <w:i w:val="false"/>
          <w:color w:val="000000"/>
          <w:sz w:val="28"/>
        </w:rPr>
        <w:t>
      Классификация активов (за исключением дебиторской задолженности по неосновной деятельности в сумме, не превышающей 2 (два) процента от собственного капитала банка), которым присущ кредитный риск, осуществляется на основе как минимум 5 (пяти) категорий и обеспечивает:</w:t>
      </w:r>
    </w:p>
    <w:bookmarkEnd w:id="430"/>
    <w:bookmarkStart w:name="z452" w:id="431"/>
    <w:p>
      <w:pPr>
        <w:spacing w:after="0"/>
        <w:ind w:left="0"/>
        <w:jc w:val="both"/>
      </w:pPr>
      <w:r>
        <w:rPr>
          <w:rFonts w:ascii="Times New Roman"/>
          <w:b w:val="false"/>
          <w:i w:val="false"/>
          <w:color w:val="000000"/>
          <w:sz w:val="28"/>
        </w:rPr>
        <w:t>
      надежную оценку достаточности капитала в рамках ВПОДК;</w:t>
      </w:r>
    </w:p>
    <w:bookmarkEnd w:id="431"/>
    <w:bookmarkStart w:name="z453" w:id="432"/>
    <w:p>
      <w:pPr>
        <w:spacing w:after="0"/>
        <w:ind w:left="0"/>
        <w:jc w:val="both"/>
      </w:pPr>
      <w:r>
        <w:rPr>
          <w:rFonts w:ascii="Times New Roman"/>
          <w:b w:val="false"/>
          <w:i w:val="false"/>
          <w:color w:val="000000"/>
          <w:sz w:val="28"/>
        </w:rPr>
        <w:t>
      необходимый уровень провизий на покрытие ожидаемых потерь.</w:t>
      </w:r>
    </w:p>
    <w:bookmarkEnd w:id="432"/>
    <w:bookmarkStart w:name="z454" w:id="433"/>
    <w:p>
      <w:pPr>
        <w:spacing w:after="0"/>
        <w:ind w:left="0"/>
        <w:jc w:val="both"/>
      </w:pPr>
      <w:r>
        <w:rPr>
          <w:rFonts w:ascii="Times New Roman"/>
          <w:b w:val="false"/>
          <w:i w:val="false"/>
          <w:color w:val="000000"/>
          <w:sz w:val="28"/>
        </w:rPr>
        <w:t>
      Активы, по которым имеется просроченная задолженность по основному долгу и (или) начисленному вознаграждению сроком более 90 (девяноста) календарных дней, классифицируются в наихудшие категории, в случае если нет веских и обоснованных оснований для классификации в более высокую категорию.</w:t>
      </w:r>
    </w:p>
    <w:bookmarkEnd w:id="433"/>
    <w:bookmarkStart w:name="z455" w:id="434"/>
    <w:p>
      <w:pPr>
        <w:spacing w:after="0"/>
        <w:ind w:left="0"/>
        <w:jc w:val="both"/>
      </w:pPr>
      <w:r>
        <w:rPr>
          <w:rFonts w:ascii="Times New Roman"/>
          <w:b w:val="false"/>
          <w:i w:val="false"/>
          <w:color w:val="000000"/>
          <w:sz w:val="28"/>
        </w:rPr>
        <w:t>
      Активы, по которым имеется просроченная задолженность по основному долгу и (или) начисленному вознаграждению сроком менее 90 (девяноста) календарных дней, классифицируются в наихудшую категорию, если имеются иные факторы неплатежеспособности заемщика, определенные внутренними документами;</w:t>
      </w:r>
    </w:p>
    <w:bookmarkEnd w:id="434"/>
    <w:bookmarkStart w:name="z456" w:id="435"/>
    <w:p>
      <w:pPr>
        <w:spacing w:after="0"/>
        <w:ind w:left="0"/>
        <w:jc w:val="both"/>
      </w:pPr>
      <w:r>
        <w:rPr>
          <w:rFonts w:ascii="Times New Roman"/>
          <w:b w:val="false"/>
          <w:i w:val="false"/>
          <w:color w:val="000000"/>
          <w:sz w:val="28"/>
        </w:rPr>
        <w:t>
      6) наличие политики управления проблемными активами.</w:t>
      </w:r>
    </w:p>
    <w:bookmarkEnd w:id="435"/>
    <w:bookmarkStart w:name="z457" w:id="436"/>
    <w:p>
      <w:pPr>
        <w:spacing w:after="0"/>
        <w:ind w:left="0"/>
        <w:jc w:val="both"/>
      </w:pPr>
      <w:r>
        <w:rPr>
          <w:rFonts w:ascii="Times New Roman"/>
          <w:b w:val="false"/>
          <w:i w:val="false"/>
          <w:color w:val="000000"/>
          <w:sz w:val="28"/>
        </w:rPr>
        <w:t>
      Совет директоров банка утверждает политику управления проблемными активами, которая содержит:</w:t>
      </w:r>
    </w:p>
    <w:bookmarkEnd w:id="436"/>
    <w:bookmarkStart w:name="z458" w:id="437"/>
    <w:p>
      <w:pPr>
        <w:spacing w:after="0"/>
        <w:ind w:left="0"/>
        <w:jc w:val="both"/>
      </w:pPr>
      <w:r>
        <w:rPr>
          <w:rFonts w:ascii="Times New Roman"/>
          <w:b w:val="false"/>
          <w:i w:val="false"/>
          <w:color w:val="000000"/>
          <w:sz w:val="28"/>
        </w:rPr>
        <w:t>
      определение проблемных активов;</w:t>
      </w:r>
    </w:p>
    <w:bookmarkEnd w:id="437"/>
    <w:bookmarkStart w:name="z459" w:id="438"/>
    <w:p>
      <w:pPr>
        <w:spacing w:after="0"/>
        <w:ind w:left="0"/>
        <w:jc w:val="both"/>
      </w:pPr>
      <w:r>
        <w:rPr>
          <w:rFonts w:ascii="Times New Roman"/>
          <w:b w:val="false"/>
          <w:i w:val="false"/>
          <w:color w:val="000000"/>
          <w:sz w:val="28"/>
        </w:rPr>
        <w:t>
      методы управления проблемными активами (реструктуризация, продажа, списание, изъятие залогового обеспечения, банкротство и другие методы);</w:t>
      </w:r>
    </w:p>
    <w:bookmarkEnd w:id="438"/>
    <w:bookmarkStart w:name="z460" w:id="439"/>
    <w:p>
      <w:pPr>
        <w:spacing w:after="0"/>
        <w:ind w:left="0"/>
        <w:jc w:val="both"/>
      </w:pPr>
      <w:r>
        <w:rPr>
          <w:rFonts w:ascii="Times New Roman"/>
          <w:b w:val="false"/>
          <w:i w:val="false"/>
          <w:color w:val="000000"/>
          <w:sz w:val="28"/>
        </w:rPr>
        <w:t>
      лимиты в отношении проблемных активов (в разрезе портфелей) и сроки реализации утвержденных методов управления проблемными активами для приведения в соответствие установленным лимитам при их нарушении;</w:t>
      </w:r>
    </w:p>
    <w:bookmarkEnd w:id="439"/>
    <w:bookmarkStart w:name="z461" w:id="440"/>
    <w:p>
      <w:pPr>
        <w:spacing w:after="0"/>
        <w:ind w:left="0"/>
        <w:jc w:val="both"/>
      </w:pPr>
      <w:r>
        <w:rPr>
          <w:rFonts w:ascii="Times New Roman"/>
          <w:b w:val="false"/>
          <w:i w:val="false"/>
          <w:color w:val="000000"/>
          <w:sz w:val="28"/>
        </w:rPr>
        <w:t>
      количественные и качественные параметры раннего реагирования на риск увеличения объема проблемных активов;</w:t>
      </w:r>
    </w:p>
    <w:bookmarkEnd w:id="440"/>
    <w:bookmarkStart w:name="z462" w:id="441"/>
    <w:p>
      <w:pPr>
        <w:spacing w:after="0"/>
        <w:ind w:left="0"/>
        <w:jc w:val="both"/>
      </w:pPr>
      <w:r>
        <w:rPr>
          <w:rFonts w:ascii="Times New Roman"/>
          <w:b w:val="false"/>
          <w:i w:val="false"/>
          <w:color w:val="000000"/>
          <w:sz w:val="28"/>
        </w:rPr>
        <w:t>
      список заинтересованных подразделений и внутренний порядок их взаимодействия при работе с проблемными активами;</w:t>
      </w:r>
    </w:p>
    <w:bookmarkEnd w:id="441"/>
    <w:bookmarkStart w:name="z463" w:id="442"/>
    <w:p>
      <w:pPr>
        <w:spacing w:after="0"/>
        <w:ind w:left="0"/>
        <w:jc w:val="both"/>
      </w:pPr>
      <w:r>
        <w:rPr>
          <w:rFonts w:ascii="Times New Roman"/>
          <w:b w:val="false"/>
          <w:i w:val="false"/>
          <w:color w:val="000000"/>
          <w:sz w:val="28"/>
        </w:rPr>
        <w:t>
      внутренний порядок предоставления управленческой отчетности совету директоров об уровне проблемных активов;</w:t>
      </w:r>
    </w:p>
    <w:bookmarkEnd w:id="442"/>
    <w:bookmarkStart w:name="z464" w:id="443"/>
    <w:p>
      <w:pPr>
        <w:spacing w:after="0"/>
        <w:ind w:left="0"/>
        <w:jc w:val="both"/>
      </w:pPr>
      <w:r>
        <w:rPr>
          <w:rFonts w:ascii="Times New Roman"/>
          <w:b w:val="false"/>
          <w:i w:val="false"/>
          <w:color w:val="000000"/>
          <w:sz w:val="28"/>
        </w:rPr>
        <w:t>
      процедуры оценки применяемых банком методов управления проблемными активами;</w:t>
      </w:r>
    </w:p>
    <w:bookmarkEnd w:id="443"/>
    <w:bookmarkStart w:name="z465" w:id="444"/>
    <w:p>
      <w:pPr>
        <w:spacing w:after="0"/>
        <w:ind w:left="0"/>
        <w:jc w:val="both"/>
      </w:pPr>
      <w:r>
        <w:rPr>
          <w:rFonts w:ascii="Times New Roman"/>
          <w:b w:val="false"/>
          <w:i w:val="false"/>
          <w:color w:val="000000"/>
          <w:sz w:val="28"/>
        </w:rPr>
        <w:t>
      7) наличие надежной методики формирования провизий.</w:t>
      </w:r>
    </w:p>
    <w:bookmarkEnd w:id="444"/>
    <w:bookmarkStart w:name="z466" w:id="445"/>
    <w:p>
      <w:pPr>
        <w:spacing w:after="0"/>
        <w:ind w:left="0"/>
        <w:jc w:val="both"/>
      </w:pPr>
      <w:r>
        <w:rPr>
          <w:rFonts w:ascii="Times New Roman"/>
          <w:b w:val="false"/>
          <w:i w:val="false"/>
          <w:color w:val="000000"/>
          <w:sz w:val="28"/>
        </w:rPr>
        <w:t>
      В целях обеспечения достаточности формируемых провизий для покрытия ожидаемых потерь банк ежегодно (либо чаще при необходимости) проводит анализ методики формирования провизий путем:</w:t>
      </w:r>
    </w:p>
    <w:bookmarkEnd w:id="445"/>
    <w:bookmarkStart w:name="z467" w:id="446"/>
    <w:p>
      <w:pPr>
        <w:spacing w:after="0"/>
        <w:ind w:left="0"/>
        <w:jc w:val="both"/>
      </w:pPr>
      <w:r>
        <w:rPr>
          <w:rFonts w:ascii="Times New Roman"/>
          <w:b w:val="false"/>
          <w:i w:val="false"/>
          <w:color w:val="000000"/>
          <w:sz w:val="28"/>
        </w:rPr>
        <w:t>
      определения соответствия провизий, рассчитанных согласно требованиям методики формирования провизий, фактическим суммам убытков;</w:t>
      </w:r>
    </w:p>
    <w:bookmarkEnd w:id="446"/>
    <w:bookmarkStart w:name="z468" w:id="447"/>
    <w:p>
      <w:pPr>
        <w:spacing w:after="0"/>
        <w:ind w:left="0"/>
        <w:jc w:val="both"/>
      </w:pPr>
      <w:r>
        <w:rPr>
          <w:rFonts w:ascii="Times New Roman"/>
          <w:b w:val="false"/>
          <w:i w:val="false"/>
          <w:color w:val="000000"/>
          <w:sz w:val="28"/>
        </w:rPr>
        <w:t>
      анализа текущих рыночных условий, изменений макроэкономических показателей;</w:t>
      </w:r>
    </w:p>
    <w:bookmarkEnd w:id="447"/>
    <w:bookmarkStart w:name="z469" w:id="448"/>
    <w:p>
      <w:pPr>
        <w:spacing w:after="0"/>
        <w:ind w:left="0"/>
        <w:jc w:val="both"/>
      </w:pPr>
      <w:r>
        <w:rPr>
          <w:rFonts w:ascii="Times New Roman"/>
          <w:b w:val="false"/>
          <w:i w:val="false"/>
          <w:color w:val="000000"/>
          <w:sz w:val="28"/>
        </w:rPr>
        <w:t>
      валидации методики формирования провизий.</w:t>
      </w:r>
    </w:p>
    <w:bookmarkEnd w:id="448"/>
    <w:bookmarkStart w:name="z470" w:id="449"/>
    <w:p>
      <w:pPr>
        <w:spacing w:after="0"/>
        <w:ind w:left="0"/>
        <w:jc w:val="both"/>
      </w:pPr>
      <w:r>
        <w:rPr>
          <w:rFonts w:ascii="Times New Roman"/>
          <w:b w:val="false"/>
          <w:i w:val="false"/>
          <w:color w:val="000000"/>
          <w:sz w:val="28"/>
        </w:rPr>
        <w:t>
      При формировании провизий по коллективным займам банк осуществляет анализ исторических данных, охватывающих необходимый период времени, и наиболее корректно отражающие кредитные потери банка. При этом исторические данные дополняются анализом текущей рыночной и экономической ситуации.</w:t>
      </w:r>
    </w:p>
    <w:bookmarkEnd w:id="449"/>
    <w:bookmarkStart w:name="z471" w:id="450"/>
    <w:p>
      <w:pPr>
        <w:spacing w:after="0"/>
        <w:ind w:left="0"/>
        <w:jc w:val="both"/>
      </w:pPr>
      <w:r>
        <w:rPr>
          <w:rFonts w:ascii="Times New Roman"/>
          <w:b w:val="false"/>
          <w:i w:val="false"/>
          <w:color w:val="000000"/>
          <w:sz w:val="28"/>
        </w:rPr>
        <w:t>
      В случае если методика формирования провизий указывает на отсутствие признаков повышения кредитного риска по займам, провизии по которым формируются на индивидуальной основе, такие займы подлежат оценке уровня кредитного риска на коллективной основе.</w:t>
      </w:r>
    </w:p>
    <w:bookmarkEnd w:id="450"/>
    <w:bookmarkStart w:name="z472" w:id="451"/>
    <w:p>
      <w:pPr>
        <w:spacing w:after="0"/>
        <w:ind w:left="0"/>
        <w:jc w:val="both"/>
      </w:pPr>
      <w:r>
        <w:rPr>
          <w:rFonts w:ascii="Times New Roman"/>
          <w:b w:val="false"/>
          <w:i w:val="false"/>
          <w:color w:val="000000"/>
          <w:sz w:val="28"/>
        </w:rPr>
        <w:t>
      Банк обеспечивает разработку (обновление) общей методологии моделей оценки вероятности дефолта, описывающей детальные требования, которым соответствует каждая модель оценки вероятности дефолта, включая требования к учету влияния прогнозной макроэкономической информации.</w:t>
      </w:r>
    </w:p>
    <w:bookmarkEnd w:id="451"/>
    <w:bookmarkStart w:name="z473" w:id="452"/>
    <w:p>
      <w:pPr>
        <w:spacing w:after="0"/>
        <w:ind w:left="0"/>
        <w:jc w:val="both"/>
      </w:pPr>
      <w:r>
        <w:rPr>
          <w:rFonts w:ascii="Times New Roman"/>
          <w:b w:val="false"/>
          <w:i w:val="false"/>
          <w:color w:val="000000"/>
          <w:sz w:val="28"/>
        </w:rPr>
        <w:t>
      Методология моделей оценки вероятности дефолта содержит, но не ограничиваясь, следующие требования к:</w:t>
      </w:r>
    </w:p>
    <w:bookmarkEnd w:id="452"/>
    <w:bookmarkStart w:name="z474" w:id="453"/>
    <w:p>
      <w:pPr>
        <w:spacing w:after="0"/>
        <w:ind w:left="0"/>
        <w:jc w:val="both"/>
      </w:pPr>
      <w:r>
        <w:rPr>
          <w:rFonts w:ascii="Times New Roman"/>
          <w:b w:val="false"/>
          <w:i w:val="false"/>
          <w:color w:val="000000"/>
          <w:sz w:val="28"/>
        </w:rPr>
        <w:t>
      определению кредитного обесценения;</w:t>
      </w:r>
    </w:p>
    <w:bookmarkEnd w:id="453"/>
    <w:bookmarkStart w:name="z475" w:id="454"/>
    <w:p>
      <w:pPr>
        <w:spacing w:after="0"/>
        <w:ind w:left="0"/>
        <w:jc w:val="both"/>
      </w:pPr>
      <w:r>
        <w:rPr>
          <w:rFonts w:ascii="Times New Roman"/>
          <w:b w:val="false"/>
          <w:i w:val="false"/>
          <w:color w:val="000000"/>
          <w:sz w:val="28"/>
        </w:rPr>
        <w:t>
      качеству, глубине и объему используемых данных;</w:t>
      </w:r>
    </w:p>
    <w:bookmarkEnd w:id="454"/>
    <w:bookmarkStart w:name="z476" w:id="455"/>
    <w:p>
      <w:pPr>
        <w:spacing w:after="0"/>
        <w:ind w:left="0"/>
        <w:jc w:val="both"/>
      </w:pPr>
      <w:r>
        <w:rPr>
          <w:rFonts w:ascii="Times New Roman"/>
          <w:b w:val="false"/>
          <w:i w:val="false"/>
          <w:color w:val="000000"/>
          <w:sz w:val="28"/>
        </w:rPr>
        <w:t>
      методологии формирования выборок для разработки и тестирования моделей;</w:t>
      </w:r>
    </w:p>
    <w:bookmarkEnd w:id="455"/>
    <w:bookmarkStart w:name="z477" w:id="456"/>
    <w:p>
      <w:pPr>
        <w:spacing w:after="0"/>
        <w:ind w:left="0"/>
        <w:jc w:val="both"/>
      </w:pPr>
      <w:r>
        <w:rPr>
          <w:rFonts w:ascii="Times New Roman"/>
          <w:b w:val="false"/>
          <w:i w:val="false"/>
          <w:color w:val="000000"/>
          <w:sz w:val="28"/>
        </w:rPr>
        <w:t>
      наличию отдельных блоков модели (в том числе требование по учету финансовых, качественных факторов, возможности государственной или поддержки на уровне группы) и их максимальному весу в определении финального PD;</w:t>
      </w:r>
    </w:p>
    <w:bookmarkEnd w:id="456"/>
    <w:bookmarkStart w:name="z478" w:id="457"/>
    <w:p>
      <w:pPr>
        <w:spacing w:after="0"/>
        <w:ind w:left="0"/>
        <w:jc w:val="both"/>
      </w:pPr>
      <w:r>
        <w:rPr>
          <w:rFonts w:ascii="Times New Roman"/>
          <w:b w:val="false"/>
          <w:i w:val="false"/>
          <w:color w:val="000000"/>
          <w:sz w:val="28"/>
        </w:rPr>
        <w:t>
      методологии калибровки модели на основе наблюдаемых уровней кредитного обесценения (калибровки модели на основании фактической статистики уровней кредитного обесценения);</w:t>
      </w:r>
    </w:p>
    <w:bookmarkEnd w:id="457"/>
    <w:bookmarkStart w:name="z479" w:id="458"/>
    <w:p>
      <w:pPr>
        <w:spacing w:after="0"/>
        <w:ind w:left="0"/>
        <w:jc w:val="both"/>
      </w:pPr>
      <w:r>
        <w:rPr>
          <w:rFonts w:ascii="Times New Roman"/>
          <w:b w:val="false"/>
          <w:i w:val="false"/>
          <w:color w:val="000000"/>
          <w:sz w:val="28"/>
        </w:rPr>
        <w:t>
      разработке и учету макро-сценариев, методологии расчета и применения матриц миграций;</w:t>
      </w:r>
    </w:p>
    <w:bookmarkEnd w:id="458"/>
    <w:bookmarkStart w:name="z480" w:id="459"/>
    <w:p>
      <w:pPr>
        <w:spacing w:after="0"/>
        <w:ind w:left="0"/>
        <w:jc w:val="both"/>
      </w:pPr>
      <w:r>
        <w:rPr>
          <w:rFonts w:ascii="Times New Roman"/>
          <w:b w:val="false"/>
          <w:i w:val="false"/>
          <w:color w:val="000000"/>
          <w:sz w:val="28"/>
        </w:rPr>
        <w:t>
      разработке валидной кредитной шкалы, совместимой с кредитными шкалами ведущих рейтинговых агентств;</w:t>
      </w:r>
    </w:p>
    <w:bookmarkEnd w:id="459"/>
    <w:bookmarkStart w:name="z481" w:id="460"/>
    <w:p>
      <w:pPr>
        <w:spacing w:after="0"/>
        <w:ind w:left="0"/>
        <w:jc w:val="both"/>
      </w:pPr>
      <w:r>
        <w:rPr>
          <w:rFonts w:ascii="Times New Roman"/>
          <w:b w:val="false"/>
          <w:i w:val="false"/>
          <w:color w:val="000000"/>
          <w:sz w:val="28"/>
        </w:rPr>
        <w:t>
      расчету разных типов PD (при первоначальном признании, двенадцатимесячный, на весь срок жизни (lifetime PD), в момент времени (PIT PD) и циклический (TTC PD);</w:t>
      </w:r>
    </w:p>
    <w:bookmarkEnd w:id="460"/>
    <w:bookmarkStart w:name="z482" w:id="461"/>
    <w:p>
      <w:pPr>
        <w:spacing w:after="0"/>
        <w:ind w:left="0"/>
        <w:jc w:val="both"/>
      </w:pPr>
      <w:r>
        <w:rPr>
          <w:rFonts w:ascii="Times New Roman"/>
          <w:b w:val="false"/>
          <w:i w:val="false"/>
          <w:color w:val="000000"/>
          <w:sz w:val="28"/>
        </w:rPr>
        <w:t>
      расчету модели PD по финансовым гарантиям;</w:t>
      </w:r>
    </w:p>
    <w:bookmarkEnd w:id="461"/>
    <w:bookmarkStart w:name="z483" w:id="462"/>
    <w:p>
      <w:pPr>
        <w:spacing w:after="0"/>
        <w:ind w:left="0"/>
        <w:jc w:val="both"/>
      </w:pPr>
      <w:r>
        <w:rPr>
          <w:rFonts w:ascii="Times New Roman"/>
          <w:b w:val="false"/>
          <w:i w:val="false"/>
          <w:color w:val="000000"/>
          <w:sz w:val="28"/>
        </w:rPr>
        <w:t>
      оценке годового PD путем использования годовых данных по наблюдаемому уровню дефолтов либо альтернативных подходов, основанных на достоверном статистическом анализе.</w:t>
      </w:r>
    </w:p>
    <w:bookmarkEnd w:id="462"/>
    <w:bookmarkStart w:name="z484" w:id="463"/>
    <w:p>
      <w:pPr>
        <w:spacing w:after="0"/>
        <w:ind w:left="0"/>
        <w:jc w:val="both"/>
      </w:pPr>
      <w:r>
        <w:rPr>
          <w:rFonts w:ascii="Times New Roman"/>
          <w:b w:val="false"/>
          <w:i w:val="false"/>
          <w:color w:val="000000"/>
          <w:sz w:val="28"/>
        </w:rPr>
        <w:t>
      В рамках разработки модели требуется:</w:t>
      </w:r>
    </w:p>
    <w:bookmarkEnd w:id="463"/>
    <w:bookmarkStart w:name="z485" w:id="464"/>
    <w:p>
      <w:pPr>
        <w:spacing w:after="0"/>
        <w:ind w:left="0"/>
        <w:jc w:val="both"/>
      </w:pPr>
      <w:r>
        <w:rPr>
          <w:rFonts w:ascii="Times New Roman"/>
          <w:b w:val="false"/>
          <w:i w:val="false"/>
          <w:color w:val="000000"/>
          <w:sz w:val="28"/>
        </w:rPr>
        <w:t>
      при применении скоринговой модели расчет скорингового балла по каждому из заемщиков выборки для разработки;</w:t>
      </w:r>
    </w:p>
    <w:bookmarkEnd w:id="464"/>
    <w:bookmarkStart w:name="z486" w:id="465"/>
    <w:p>
      <w:pPr>
        <w:spacing w:after="0"/>
        <w:ind w:left="0"/>
        <w:jc w:val="both"/>
      </w:pPr>
      <w:r>
        <w:rPr>
          <w:rFonts w:ascii="Times New Roman"/>
          <w:b w:val="false"/>
          <w:i w:val="false"/>
          <w:color w:val="000000"/>
          <w:sz w:val="28"/>
        </w:rPr>
        <w:t>
      при применении скоринговой модели калибровка модели, то есть перевод скорингового балла в значение PD с использованием моделей наблюдаемого исторического уровня кредитного обесценения по портфелю;</w:t>
      </w:r>
    </w:p>
    <w:bookmarkEnd w:id="465"/>
    <w:bookmarkStart w:name="z487" w:id="466"/>
    <w:p>
      <w:pPr>
        <w:spacing w:after="0"/>
        <w:ind w:left="0"/>
        <w:jc w:val="both"/>
      </w:pPr>
      <w:r>
        <w:rPr>
          <w:rFonts w:ascii="Times New Roman"/>
          <w:b w:val="false"/>
          <w:i w:val="false"/>
          <w:color w:val="000000"/>
          <w:sz w:val="28"/>
        </w:rPr>
        <w:t>
      разработка модели учета макроэкономической ситуации и перевода TTC PD в PIT PD;</w:t>
      </w:r>
    </w:p>
    <w:bookmarkEnd w:id="466"/>
    <w:bookmarkStart w:name="z488" w:id="467"/>
    <w:p>
      <w:pPr>
        <w:spacing w:after="0"/>
        <w:ind w:left="0"/>
        <w:jc w:val="both"/>
      </w:pPr>
      <w:r>
        <w:rPr>
          <w:rFonts w:ascii="Times New Roman"/>
          <w:b w:val="false"/>
          <w:i w:val="false"/>
          <w:color w:val="000000"/>
          <w:sz w:val="28"/>
        </w:rPr>
        <w:t>
      оценивать годовой PD путем либо использования годовых данных по наблюдаемому уровню дефолтов, либо альтернативных подходов, основанных на достоверном статистическом анализе;</w:t>
      </w:r>
    </w:p>
    <w:bookmarkEnd w:id="467"/>
    <w:bookmarkStart w:name="z489" w:id="468"/>
    <w:p>
      <w:pPr>
        <w:spacing w:after="0"/>
        <w:ind w:left="0"/>
        <w:jc w:val="both"/>
      </w:pPr>
      <w:r>
        <w:rPr>
          <w:rFonts w:ascii="Times New Roman"/>
          <w:b w:val="false"/>
          <w:i w:val="false"/>
          <w:color w:val="000000"/>
          <w:sz w:val="28"/>
        </w:rPr>
        <w:t>
      предусмотреть выбор актуального объема исторических данных по наблюдаемому уровню дефолтов при разработке модели и калибровку PIT значений на основе ожидаемых макропоказателей;</w:t>
      </w:r>
    </w:p>
    <w:bookmarkEnd w:id="468"/>
    <w:bookmarkStart w:name="z490" w:id="469"/>
    <w:p>
      <w:pPr>
        <w:spacing w:after="0"/>
        <w:ind w:left="0"/>
        <w:jc w:val="both"/>
      </w:pPr>
      <w:r>
        <w:rPr>
          <w:rFonts w:ascii="Times New Roman"/>
          <w:b w:val="false"/>
          <w:i w:val="false"/>
          <w:color w:val="000000"/>
          <w:sz w:val="28"/>
        </w:rPr>
        <w:t>
      установление минимальной границы PD для резидентов Республики Казахстан, соответствующей PD Республики Казахстан, за исключением статистических обоснованных случаев.</w:t>
      </w:r>
    </w:p>
    <w:bookmarkEnd w:id="469"/>
    <w:bookmarkStart w:name="z491" w:id="470"/>
    <w:p>
      <w:pPr>
        <w:spacing w:after="0"/>
        <w:ind w:left="0"/>
        <w:jc w:val="both"/>
      </w:pPr>
      <w:r>
        <w:rPr>
          <w:rFonts w:ascii="Times New Roman"/>
          <w:b w:val="false"/>
          <w:i w:val="false"/>
          <w:color w:val="000000"/>
          <w:sz w:val="28"/>
        </w:rPr>
        <w:t>
      Банк обеспечивает автоматический расчет во внутренних системах банка всех риск-метрик (PD, LGD, EAD), провизий, а также определение событий значительного увеличения кредитного риска, событий, являющихся объективными подтверждениями обесценения по МСФО, категорий обесценения.</w:t>
      </w:r>
    </w:p>
    <w:bookmarkEnd w:id="470"/>
    <w:bookmarkStart w:name="z492" w:id="471"/>
    <w:p>
      <w:pPr>
        <w:spacing w:after="0"/>
        <w:ind w:left="0"/>
        <w:jc w:val="both"/>
      </w:pPr>
      <w:r>
        <w:rPr>
          <w:rFonts w:ascii="Times New Roman"/>
          <w:b w:val="false"/>
          <w:i w:val="false"/>
          <w:color w:val="000000"/>
          <w:sz w:val="28"/>
        </w:rPr>
        <w:t>
      Банк обеспечивает хранение в системах не менее 5 (пяти) лет после погашения займа (или) внебалансового обязательства следующих данных (но не ограничиваясь):</w:t>
      </w:r>
    </w:p>
    <w:bookmarkEnd w:id="471"/>
    <w:bookmarkStart w:name="z493" w:id="472"/>
    <w:p>
      <w:pPr>
        <w:spacing w:after="0"/>
        <w:ind w:left="0"/>
        <w:jc w:val="both"/>
      </w:pPr>
      <w:r>
        <w:rPr>
          <w:rFonts w:ascii="Times New Roman"/>
          <w:b w:val="false"/>
          <w:i w:val="false"/>
          <w:color w:val="000000"/>
          <w:sz w:val="28"/>
        </w:rPr>
        <w:t>
      результаты прохождения или не прохождения SPPI теста;</w:t>
      </w:r>
    </w:p>
    <w:bookmarkEnd w:id="472"/>
    <w:bookmarkStart w:name="z494" w:id="473"/>
    <w:p>
      <w:pPr>
        <w:spacing w:after="0"/>
        <w:ind w:left="0"/>
        <w:jc w:val="both"/>
      </w:pPr>
      <w:r>
        <w:rPr>
          <w:rFonts w:ascii="Times New Roman"/>
          <w:b w:val="false"/>
          <w:i w:val="false"/>
          <w:color w:val="000000"/>
          <w:sz w:val="28"/>
        </w:rPr>
        <w:t>
      классификация финансового инструмента в соответствии с МСФО 9;</w:t>
      </w:r>
    </w:p>
    <w:bookmarkEnd w:id="473"/>
    <w:bookmarkStart w:name="z495" w:id="474"/>
    <w:p>
      <w:pPr>
        <w:spacing w:after="0"/>
        <w:ind w:left="0"/>
        <w:jc w:val="both"/>
      </w:pPr>
      <w:r>
        <w:rPr>
          <w:rFonts w:ascii="Times New Roman"/>
          <w:b w:val="false"/>
          <w:i w:val="false"/>
          <w:color w:val="000000"/>
          <w:sz w:val="28"/>
        </w:rPr>
        <w:t>
      события, являющиеся объективными подтверждениями обесценения (отдельное поле данных для каждого события по каждому заемщику и (или) обязательству);</w:t>
      </w:r>
    </w:p>
    <w:bookmarkEnd w:id="474"/>
    <w:bookmarkStart w:name="z496" w:id="475"/>
    <w:p>
      <w:pPr>
        <w:spacing w:after="0"/>
        <w:ind w:left="0"/>
        <w:jc w:val="both"/>
      </w:pPr>
      <w:r>
        <w:rPr>
          <w:rFonts w:ascii="Times New Roman"/>
          <w:b w:val="false"/>
          <w:i w:val="false"/>
          <w:color w:val="000000"/>
          <w:sz w:val="28"/>
        </w:rPr>
        <w:t>
      стадия обесценения заемщика;</w:t>
      </w:r>
    </w:p>
    <w:bookmarkEnd w:id="475"/>
    <w:bookmarkStart w:name="z497" w:id="476"/>
    <w:p>
      <w:pPr>
        <w:spacing w:after="0"/>
        <w:ind w:left="0"/>
        <w:jc w:val="both"/>
      </w:pPr>
      <w:r>
        <w:rPr>
          <w:rFonts w:ascii="Times New Roman"/>
          <w:b w:val="false"/>
          <w:i w:val="false"/>
          <w:color w:val="000000"/>
          <w:sz w:val="28"/>
        </w:rPr>
        <w:t>
      вероятности сценариев по методам "going-concern" и "gone-concern" для индивидуально-оцениваемых заемщиков;</w:t>
      </w:r>
    </w:p>
    <w:bookmarkEnd w:id="476"/>
    <w:bookmarkStart w:name="z498" w:id="477"/>
    <w:p>
      <w:pPr>
        <w:spacing w:after="0"/>
        <w:ind w:left="0"/>
        <w:jc w:val="both"/>
      </w:pPr>
      <w:r>
        <w:rPr>
          <w:rFonts w:ascii="Times New Roman"/>
          <w:b w:val="false"/>
          <w:i w:val="false"/>
          <w:color w:val="000000"/>
          <w:sz w:val="28"/>
        </w:rPr>
        <w:t>
      эффективная процентная ставка (первоначальная и актуальная процентные ставки);</w:t>
      </w:r>
    </w:p>
    <w:bookmarkEnd w:id="477"/>
    <w:bookmarkStart w:name="z499" w:id="478"/>
    <w:p>
      <w:pPr>
        <w:spacing w:after="0"/>
        <w:ind w:left="0"/>
        <w:jc w:val="both"/>
      </w:pPr>
      <w:r>
        <w:rPr>
          <w:rFonts w:ascii="Times New Roman"/>
          <w:b w:val="false"/>
          <w:i w:val="false"/>
          <w:color w:val="000000"/>
          <w:sz w:val="28"/>
        </w:rPr>
        <w:t>
      уровни дефолтов (по количеству заемщиков, обязательств и по сумме обязательств) в абсолютном и процентном выражениях;</w:t>
      </w:r>
    </w:p>
    <w:bookmarkEnd w:id="478"/>
    <w:bookmarkStart w:name="z500" w:id="479"/>
    <w:p>
      <w:pPr>
        <w:spacing w:after="0"/>
        <w:ind w:left="0"/>
        <w:jc w:val="both"/>
      </w:pPr>
      <w:r>
        <w:rPr>
          <w:rFonts w:ascii="Times New Roman"/>
          <w:b w:val="false"/>
          <w:i w:val="false"/>
          <w:color w:val="000000"/>
          <w:sz w:val="28"/>
        </w:rPr>
        <w:t>
      уровни возвратов (по сумме обязательств - отдельно с учетом выздоровлений и без учета выздоровлений) в абсолютном и процентном выражениях;</w:t>
      </w:r>
    </w:p>
    <w:bookmarkEnd w:id="479"/>
    <w:bookmarkStart w:name="z501" w:id="480"/>
    <w:p>
      <w:pPr>
        <w:spacing w:after="0"/>
        <w:ind w:left="0"/>
        <w:jc w:val="both"/>
      </w:pPr>
      <w:r>
        <w:rPr>
          <w:rFonts w:ascii="Times New Roman"/>
          <w:b w:val="false"/>
          <w:i w:val="false"/>
          <w:color w:val="000000"/>
          <w:sz w:val="28"/>
        </w:rPr>
        <w:t>
      уровни реструктуризаций (по количеству заемщиков, обязательств и по сумме обязательств - отдельно по реструктуризациям и отдельно по вынужденным реструктуризациям) в абсолютном и процентном выражениях;</w:t>
      </w:r>
    </w:p>
    <w:bookmarkEnd w:id="480"/>
    <w:bookmarkStart w:name="z502" w:id="481"/>
    <w:p>
      <w:pPr>
        <w:spacing w:after="0"/>
        <w:ind w:left="0"/>
        <w:jc w:val="both"/>
      </w:pPr>
      <w:r>
        <w:rPr>
          <w:rFonts w:ascii="Times New Roman"/>
          <w:b w:val="false"/>
          <w:i w:val="false"/>
          <w:color w:val="000000"/>
          <w:sz w:val="28"/>
        </w:rPr>
        <w:t>
      уровни выздоровлений (по количеству заемщиков, обязательств и по сумме обязательств) в абсолютном и процентном выражениях;</w:t>
      </w:r>
    </w:p>
    <w:bookmarkEnd w:id="481"/>
    <w:bookmarkStart w:name="z503" w:id="482"/>
    <w:p>
      <w:pPr>
        <w:spacing w:after="0"/>
        <w:ind w:left="0"/>
        <w:jc w:val="both"/>
      </w:pPr>
      <w:r>
        <w:rPr>
          <w:rFonts w:ascii="Times New Roman"/>
          <w:b w:val="false"/>
          <w:i w:val="false"/>
          <w:color w:val="000000"/>
          <w:sz w:val="28"/>
        </w:rPr>
        <w:t>
      уровни списаний (по сумме обязательств - отдельно по частичным и отдельно по полным списаниям) в абсолютном и процентном выражениях;</w:t>
      </w:r>
    </w:p>
    <w:bookmarkEnd w:id="482"/>
    <w:bookmarkStart w:name="z504" w:id="483"/>
    <w:p>
      <w:pPr>
        <w:spacing w:after="0"/>
        <w:ind w:left="0"/>
        <w:jc w:val="both"/>
      </w:pPr>
      <w:r>
        <w:rPr>
          <w:rFonts w:ascii="Times New Roman"/>
          <w:b w:val="false"/>
          <w:i w:val="false"/>
          <w:color w:val="000000"/>
          <w:sz w:val="28"/>
        </w:rPr>
        <w:t>
      значения PD (для каждого заемщика и (или) обязательства с момента выдачи и в течение всего срока действия займа и (или) внебалансового обязательства);</w:t>
      </w:r>
    </w:p>
    <w:bookmarkEnd w:id="483"/>
    <w:bookmarkStart w:name="z505" w:id="484"/>
    <w:p>
      <w:pPr>
        <w:spacing w:after="0"/>
        <w:ind w:left="0"/>
        <w:jc w:val="both"/>
      </w:pPr>
      <w:r>
        <w:rPr>
          <w:rFonts w:ascii="Times New Roman"/>
          <w:b w:val="false"/>
          <w:i w:val="false"/>
          <w:color w:val="000000"/>
          <w:sz w:val="28"/>
        </w:rPr>
        <w:t>
      значения двенадцатимесячного PD и lifetime PD на момент признания и на каждый месяц в течение срока займа и (или) внебалансового обязательства;</w:t>
      </w:r>
    </w:p>
    <w:bookmarkEnd w:id="484"/>
    <w:bookmarkStart w:name="z506" w:id="485"/>
    <w:p>
      <w:pPr>
        <w:spacing w:after="0"/>
        <w:ind w:left="0"/>
        <w:jc w:val="both"/>
      </w:pPr>
      <w:r>
        <w:rPr>
          <w:rFonts w:ascii="Times New Roman"/>
          <w:b w:val="false"/>
          <w:i w:val="false"/>
          <w:color w:val="000000"/>
          <w:sz w:val="28"/>
        </w:rPr>
        <w:t>
      значения LGD (включая значение LGD для каждого заемщика и (или) обязательства) с момента выдачи займа и (или) внебалансового обязательства (но не ранее даты внедрения МСФО 9) и на каждый месяц в течение срока действия займа и (или) внебалансового обязательства;</w:t>
      </w:r>
    </w:p>
    <w:bookmarkEnd w:id="485"/>
    <w:bookmarkStart w:name="z507" w:id="486"/>
    <w:p>
      <w:pPr>
        <w:spacing w:after="0"/>
        <w:ind w:left="0"/>
        <w:jc w:val="both"/>
      </w:pPr>
      <w:r>
        <w:rPr>
          <w:rFonts w:ascii="Times New Roman"/>
          <w:b w:val="false"/>
          <w:i w:val="false"/>
          <w:color w:val="000000"/>
          <w:sz w:val="28"/>
        </w:rPr>
        <w:t>
      значения EAD (включая значение EAD для каждого заемщика и (или) обязательства) с момента выдачи займа и (или) внебалансового обязательства (но не ранее даты внедрения МСФО 9) и на каждый месяц в течение срока действия займа и (или) внебалансового обязательства;</w:t>
      </w:r>
    </w:p>
    <w:bookmarkEnd w:id="486"/>
    <w:bookmarkStart w:name="z508" w:id="487"/>
    <w:p>
      <w:pPr>
        <w:spacing w:after="0"/>
        <w:ind w:left="0"/>
        <w:jc w:val="both"/>
      </w:pPr>
      <w:r>
        <w:rPr>
          <w:rFonts w:ascii="Times New Roman"/>
          <w:b w:val="false"/>
          <w:i w:val="false"/>
          <w:color w:val="000000"/>
          <w:sz w:val="28"/>
        </w:rPr>
        <w:t>
      кредитные убытки (включая значения ожидаемых кредитных убытков для каждого заемщика и (или) обязательства) с момента выдачи займа и (или) внебалансового обязательства (но не ранее даты внедрения МСФО 9) и на каждый месяц в течение срока действия займа и (или) внебалансового обязательства;</w:t>
      </w:r>
    </w:p>
    <w:bookmarkEnd w:id="487"/>
    <w:bookmarkStart w:name="z509" w:id="488"/>
    <w:p>
      <w:pPr>
        <w:spacing w:after="0"/>
        <w:ind w:left="0"/>
        <w:jc w:val="both"/>
      </w:pPr>
      <w:r>
        <w:rPr>
          <w:rFonts w:ascii="Times New Roman"/>
          <w:b w:val="false"/>
          <w:i w:val="false"/>
          <w:color w:val="000000"/>
          <w:sz w:val="28"/>
        </w:rPr>
        <w:t>
      значения коэффициентов риск-взвешивания (RWA) (включая значения RWA для каждого заемщика и (или) обязательства) с момента выдачи займа и (или) внебалансового обязательства (но не ранее даты внедрения МСФО 9) и на каждый месяц в течение срока действия займа и (или) внебалансового обязательства;</w:t>
      </w:r>
    </w:p>
    <w:bookmarkEnd w:id="488"/>
    <w:bookmarkStart w:name="z510" w:id="489"/>
    <w:p>
      <w:pPr>
        <w:spacing w:after="0"/>
        <w:ind w:left="0"/>
        <w:jc w:val="both"/>
      </w:pPr>
      <w:r>
        <w:rPr>
          <w:rFonts w:ascii="Times New Roman"/>
          <w:b w:val="false"/>
          <w:i w:val="false"/>
          <w:color w:val="000000"/>
          <w:sz w:val="28"/>
        </w:rPr>
        <w:t>
      коэффициенты кредитной конверсии;</w:t>
      </w:r>
    </w:p>
    <w:bookmarkEnd w:id="489"/>
    <w:bookmarkStart w:name="z511" w:id="490"/>
    <w:p>
      <w:pPr>
        <w:spacing w:after="0"/>
        <w:ind w:left="0"/>
        <w:jc w:val="both"/>
      </w:pPr>
      <w:r>
        <w:rPr>
          <w:rFonts w:ascii="Times New Roman"/>
          <w:b w:val="false"/>
          <w:i w:val="false"/>
          <w:color w:val="000000"/>
          <w:sz w:val="28"/>
        </w:rPr>
        <w:t>
      суммы балансовых и внебалансовых обязательств заемщика (за последние 5 (пять) лет);</w:t>
      </w:r>
    </w:p>
    <w:bookmarkEnd w:id="490"/>
    <w:bookmarkStart w:name="z512" w:id="491"/>
    <w:p>
      <w:pPr>
        <w:spacing w:after="0"/>
        <w:ind w:left="0"/>
        <w:jc w:val="both"/>
      </w:pPr>
      <w:r>
        <w:rPr>
          <w:rFonts w:ascii="Times New Roman"/>
          <w:b w:val="false"/>
          <w:i w:val="false"/>
          <w:color w:val="000000"/>
          <w:sz w:val="28"/>
        </w:rPr>
        <w:t>
      списанные займы заемщика (за последние 5 (пять) лет);</w:t>
      </w:r>
    </w:p>
    <w:bookmarkEnd w:id="491"/>
    <w:bookmarkStart w:name="z513" w:id="492"/>
    <w:p>
      <w:pPr>
        <w:spacing w:after="0"/>
        <w:ind w:left="0"/>
        <w:jc w:val="both"/>
      </w:pPr>
      <w:r>
        <w:rPr>
          <w:rFonts w:ascii="Times New Roman"/>
          <w:b w:val="false"/>
          <w:i w:val="false"/>
          <w:color w:val="000000"/>
          <w:sz w:val="28"/>
        </w:rPr>
        <w:t>
      итоговое значение провизий (на уровне заемщика и на уровне обязательства);</w:t>
      </w:r>
    </w:p>
    <w:bookmarkEnd w:id="492"/>
    <w:bookmarkStart w:name="z514" w:id="493"/>
    <w:p>
      <w:pPr>
        <w:spacing w:after="0"/>
        <w:ind w:left="0"/>
        <w:jc w:val="both"/>
      </w:pPr>
      <w:r>
        <w:rPr>
          <w:rFonts w:ascii="Times New Roman"/>
          <w:b w:val="false"/>
          <w:i w:val="false"/>
          <w:color w:val="000000"/>
          <w:sz w:val="28"/>
        </w:rPr>
        <w:t>
      привязка к БИН или ИИН и внутренним уникальным идентификаторам (если они отличаются от БИН или ИИН) заемщика и займа и (или) внебалансового обязательства;</w:t>
      </w:r>
    </w:p>
    <w:bookmarkEnd w:id="493"/>
    <w:bookmarkStart w:name="z515" w:id="494"/>
    <w:p>
      <w:pPr>
        <w:spacing w:after="0"/>
        <w:ind w:left="0"/>
        <w:jc w:val="both"/>
      </w:pPr>
      <w:r>
        <w:rPr>
          <w:rFonts w:ascii="Times New Roman"/>
          <w:b w:val="false"/>
          <w:i w:val="false"/>
          <w:color w:val="000000"/>
          <w:sz w:val="28"/>
        </w:rPr>
        <w:t>
      привязка к БИН или ИИН и внутренним уникальным идентификаторам (если они отличаются от БИН или ИИН) всех созаемщиков и гарантов;</w:t>
      </w:r>
    </w:p>
    <w:bookmarkEnd w:id="494"/>
    <w:bookmarkStart w:name="z516" w:id="495"/>
    <w:p>
      <w:pPr>
        <w:spacing w:after="0"/>
        <w:ind w:left="0"/>
        <w:jc w:val="both"/>
      </w:pPr>
      <w:r>
        <w:rPr>
          <w:rFonts w:ascii="Times New Roman"/>
          <w:b w:val="false"/>
          <w:i w:val="false"/>
          <w:color w:val="000000"/>
          <w:sz w:val="28"/>
        </w:rPr>
        <w:t>
      привязка к уникальному идентификатору группы связанных заемщиков в соответствии с внутренними документами банка;</w:t>
      </w:r>
    </w:p>
    <w:bookmarkEnd w:id="495"/>
    <w:bookmarkStart w:name="z517" w:id="496"/>
    <w:p>
      <w:pPr>
        <w:spacing w:after="0"/>
        <w:ind w:left="0"/>
        <w:jc w:val="both"/>
      </w:pPr>
      <w:r>
        <w:rPr>
          <w:rFonts w:ascii="Times New Roman"/>
          <w:b w:val="false"/>
          <w:i w:val="false"/>
          <w:color w:val="000000"/>
          <w:sz w:val="28"/>
        </w:rPr>
        <w:t>
      привязка к БИН или ИИН участников группы связанных заемщиков в соответствии с внутренними документами банка;</w:t>
      </w:r>
    </w:p>
    <w:bookmarkEnd w:id="496"/>
    <w:bookmarkStart w:name="z518" w:id="497"/>
    <w:p>
      <w:pPr>
        <w:spacing w:after="0"/>
        <w:ind w:left="0"/>
        <w:jc w:val="both"/>
      </w:pPr>
      <w:r>
        <w:rPr>
          <w:rFonts w:ascii="Times New Roman"/>
          <w:b w:val="false"/>
          <w:i w:val="false"/>
          <w:color w:val="000000"/>
          <w:sz w:val="28"/>
        </w:rPr>
        <w:t>
      финансовые показатели заемщиков, требуемые для определения стадии обесценения и расчета провизий;</w:t>
      </w:r>
    </w:p>
    <w:bookmarkEnd w:id="497"/>
    <w:bookmarkStart w:name="z519" w:id="498"/>
    <w:p>
      <w:pPr>
        <w:spacing w:after="0"/>
        <w:ind w:left="0"/>
        <w:jc w:val="both"/>
      </w:pPr>
      <w:r>
        <w:rPr>
          <w:rFonts w:ascii="Times New Roman"/>
          <w:b w:val="false"/>
          <w:i w:val="false"/>
          <w:color w:val="000000"/>
          <w:sz w:val="28"/>
        </w:rPr>
        <w:t xml:space="preserve">
      признак принадлежности субъекта к категории предпринимательства согласно </w:t>
      </w:r>
      <w:r>
        <w:rPr>
          <w:rFonts w:ascii="Times New Roman"/>
          <w:b w:val="false"/>
          <w:i w:val="false"/>
          <w:color w:val="000000"/>
          <w:sz w:val="28"/>
        </w:rPr>
        <w:t>Предпринимательскому</w:t>
      </w:r>
      <w:r>
        <w:rPr>
          <w:rFonts w:ascii="Times New Roman"/>
          <w:b w:val="false"/>
          <w:i w:val="false"/>
          <w:color w:val="000000"/>
          <w:sz w:val="28"/>
        </w:rPr>
        <w:t xml:space="preserve"> кодексу Республики Казахстан;</w:t>
      </w:r>
    </w:p>
    <w:bookmarkEnd w:id="498"/>
    <w:bookmarkStart w:name="z520" w:id="499"/>
    <w:p>
      <w:pPr>
        <w:spacing w:after="0"/>
        <w:ind w:left="0"/>
        <w:jc w:val="both"/>
      </w:pPr>
      <w:r>
        <w:rPr>
          <w:rFonts w:ascii="Times New Roman"/>
          <w:b w:val="false"/>
          <w:i w:val="false"/>
          <w:color w:val="000000"/>
          <w:sz w:val="28"/>
        </w:rPr>
        <w:t>
      флаг принадлежности к списку лиц, связанных с банком особыми отношениями;</w:t>
      </w:r>
    </w:p>
    <w:bookmarkEnd w:id="499"/>
    <w:bookmarkStart w:name="z521" w:id="500"/>
    <w:p>
      <w:pPr>
        <w:spacing w:after="0"/>
        <w:ind w:left="0"/>
        <w:jc w:val="both"/>
      </w:pPr>
      <w:r>
        <w:rPr>
          <w:rFonts w:ascii="Times New Roman"/>
          <w:b w:val="false"/>
          <w:i w:val="false"/>
          <w:color w:val="000000"/>
          <w:sz w:val="28"/>
        </w:rPr>
        <w:t>
      флаг реструктуризации и (или) вынужденной реструктуризации;</w:t>
      </w:r>
    </w:p>
    <w:bookmarkEnd w:id="500"/>
    <w:bookmarkStart w:name="z522" w:id="501"/>
    <w:p>
      <w:pPr>
        <w:spacing w:after="0"/>
        <w:ind w:left="0"/>
        <w:jc w:val="both"/>
      </w:pPr>
      <w:r>
        <w:rPr>
          <w:rFonts w:ascii="Times New Roman"/>
          <w:b w:val="false"/>
          <w:i w:val="false"/>
          <w:color w:val="000000"/>
          <w:sz w:val="28"/>
        </w:rPr>
        <w:t>
      все даты проведения реструктуризаций по займу и заемщику по займам в данном банке.</w:t>
      </w:r>
    </w:p>
    <w:bookmarkEnd w:id="501"/>
    <w:bookmarkStart w:name="z523" w:id="502"/>
    <w:p>
      <w:pPr>
        <w:spacing w:after="0"/>
        <w:ind w:left="0"/>
        <w:jc w:val="both"/>
      </w:pPr>
      <w:r>
        <w:rPr>
          <w:rFonts w:ascii="Times New Roman"/>
          <w:b w:val="false"/>
          <w:i w:val="false"/>
          <w:color w:val="000000"/>
          <w:sz w:val="28"/>
        </w:rPr>
        <w:t>
      Системы банка фиксируют и сохраняют в системах факт события значительного увеличения кредитного риска и события, являющегося объективным подтверждением обесценения по МСФО для всех заемщиков, их балансовых и внебалансовых обязательств и портфелей банка;</w:t>
      </w:r>
    </w:p>
    <w:bookmarkEnd w:id="502"/>
    <w:bookmarkStart w:name="z524" w:id="503"/>
    <w:p>
      <w:pPr>
        <w:spacing w:after="0"/>
        <w:ind w:left="0"/>
        <w:jc w:val="both"/>
      </w:pPr>
      <w:r>
        <w:rPr>
          <w:rFonts w:ascii="Times New Roman"/>
          <w:b w:val="false"/>
          <w:i w:val="false"/>
          <w:color w:val="000000"/>
          <w:sz w:val="28"/>
        </w:rPr>
        <w:t>
      8) наличие процедуры валидации моделей оценки кредитного риска.</w:t>
      </w:r>
    </w:p>
    <w:bookmarkEnd w:id="503"/>
    <w:bookmarkStart w:name="z525" w:id="504"/>
    <w:p>
      <w:pPr>
        <w:spacing w:after="0"/>
        <w:ind w:left="0"/>
        <w:jc w:val="both"/>
      </w:pPr>
      <w:r>
        <w:rPr>
          <w:rFonts w:ascii="Times New Roman"/>
          <w:b w:val="false"/>
          <w:i w:val="false"/>
          <w:color w:val="000000"/>
          <w:sz w:val="28"/>
        </w:rPr>
        <w:t>
      В целях обеспечения адекватности оценки кредитного риска с применением моделей банк регламентирует процессы их валидации, проведения бэк-тестинга, допустимые уровни отклонений от запланированного уровня рисков. В случае отклонения от запланированного уровня рисков банк разрабатывает план корректирующих мер.</w:t>
      </w:r>
    </w:p>
    <w:bookmarkEnd w:id="504"/>
    <w:bookmarkStart w:name="z526" w:id="505"/>
    <w:p>
      <w:pPr>
        <w:spacing w:after="0"/>
        <w:ind w:left="0"/>
        <w:jc w:val="both"/>
      </w:pPr>
      <w:r>
        <w:rPr>
          <w:rFonts w:ascii="Times New Roman"/>
          <w:b w:val="false"/>
          <w:i w:val="false"/>
          <w:color w:val="000000"/>
          <w:sz w:val="28"/>
        </w:rPr>
        <w:t>
      Валидация осуществляется посредством одного или нескольких следующих методов:</w:t>
      </w:r>
    </w:p>
    <w:bookmarkEnd w:id="505"/>
    <w:bookmarkStart w:name="z527" w:id="506"/>
    <w:p>
      <w:pPr>
        <w:spacing w:after="0"/>
        <w:ind w:left="0"/>
        <w:jc w:val="both"/>
      </w:pPr>
      <w:r>
        <w:rPr>
          <w:rFonts w:ascii="Times New Roman"/>
          <w:b w:val="false"/>
          <w:i w:val="false"/>
          <w:color w:val="000000"/>
          <w:sz w:val="28"/>
        </w:rPr>
        <w:t>
      проверка дискриминационной способности модели;</w:t>
      </w:r>
    </w:p>
    <w:bookmarkEnd w:id="506"/>
    <w:bookmarkStart w:name="z528" w:id="507"/>
    <w:p>
      <w:pPr>
        <w:spacing w:after="0"/>
        <w:ind w:left="0"/>
        <w:jc w:val="both"/>
      </w:pPr>
      <w:r>
        <w:rPr>
          <w:rFonts w:ascii="Times New Roman"/>
          <w:b w:val="false"/>
          <w:i w:val="false"/>
          <w:color w:val="000000"/>
          <w:sz w:val="28"/>
        </w:rPr>
        <w:t>
      оценка прогнозной точности модели;</w:t>
      </w:r>
    </w:p>
    <w:bookmarkEnd w:id="507"/>
    <w:bookmarkStart w:name="z529" w:id="508"/>
    <w:p>
      <w:pPr>
        <w:spacing w:after="0"/>
        <w:ind w:left="0"/>
        <w:jc w:val="both"/>
      </w:pPr>
      <w:r>
        <w:rPr>
          <w:rFonts w:ascii="Times New Roman"/>
          <w:b w:val="false"/>
          <w:i w:val="false"/>
          <w:color w:val="000000"/>
          <w:sz w:val="28"/>
        </w:rPr>
        <w:t>
      анализ миграции рейтингов;</w:t>
      </w:r>
    </w:p>
    <w:bookmarkEnd w:id="508"/>
    <w:bookmarkStart w:name="z530" w:id="509"/>
    <w:p>
      <w:pPr>
        <w:spacing w:after="0"/>
        <w:ind w:left="0"/>
        <w:jc w:val="both"/>
      </w:pPr>
      <w:r>
        <w:rPr>
          <w:rFonts w:ascii="Times New Roman"/>
          <w:b w:val="false"/>
          <w:i w:val="false"/>
          <w:color w:val="000000"/>
          <w:sz w:val="28"/>
        </w:rPr>
        <w:t>
      сравнительный анализ рейтингов.</w:t>
      </w:r>
    </w:p>
    <w:bookmarkEnd w:id="509"/>
    <w:bookmarkStart w:name="z531" w:id="510"/>
    <w:p>
      <w:pPr>
        <w:spacing w:after="0"/>
        <w:ind w:left="0"/>
        <w:jc w:val="both"/>
      </w:pPr>
      <w:r>
        <w:rPr>
          <w:rFonts w:ascii="Times New Roman"/>
          <w:b w:val="false"/>
          <w:i w:val="false"/>
          <w:color w:val="000000"/>
          <w:sz w:val="28"/>
        </w:rPr>
        <w:t>
      Валидация осуществляется не реже 1 (одного) раза в 3 (три) года независимым подразделением банка либо с привлечением независимой третьей стороны. Частота проведения валидации зависит от текущей рыночной ситуации, стратегии, объема активов, уровня сложности операций банка, увеличивается в случае существенных изменений в экономике или во внутренних процессах кредитования банка. Результаты валидации предоставляются комитету по вопросам управления рисками.</w:t>
      </w:r>
    </w:p>
    <w:bookmarkEnd w:id="510"/>
    <w:bookmarkStart w:name="z532" w:id="511"/>
    <w:p>
      <w:pPr>
        <w:spacing w:after="0"/>
        <w:ind w:left="0"/>
        <w:jc w:val="both"/>
      </w:pPr>
      <w:r>
        <w:rPr>
          <w:rFonts w:ascii="Times New Roman"/>
          <w:b w:val="false"/>
          <w:i w:val="false"/>
          <w:color w:val="000000"/>
          <w:sz w:val="28"/>
        </w:rPr>
        <w:t>
      Внутренняя валидация скоринговых моделей проводится независимым подразделением банка не реже 1 (одного) раза в 1 (один) год.</w:t>
      </w:r>
    </w:p>
    <w:bookmarkEnd w:id="511"/>
    <w:bookmarkStart w:name="z533" w:id="512"/>
    <w:p>
      <w:pPr>
        <w:spacing w:after="0"/>
        <w:ind w:left="0"/>
        <w:jc w:val="both"/>
      </w:pPr>
      <w:r>
        <w:rPr>
          <w:rFonts w:ascii="Times New Roman"/>
          <w:b w:val="false"/>
          <w:i w:val="false"/>
          <w:color w:val="000000"/>
          <w:sz w:val="28"/>
        </w:rPr>
        <w:t>
      Внутренняя валидация скоринговых моделей проводится независимым подразделением банка при формализации во внутренних документах банка полного процесса валидации, включая, но не ограничиваясь, детально описанный процесс валидации параметров, используемых в расчете провизий (участники, периметр проверки, области проверки, критерии подготовки суждений, формат представления результатов, сроки).</w:t>
      </w:r>
    </w:p>
    <w:bookmarkEnd w:id="512"/>
    <w:bookmarkStart w:name="z534" w:id="513"/>
    <w:p>
      <w:pPr>
        <w:spacing w:after="0"/>
        <w:ind w:left="0"/>
        <w:jc w:val="both"/>
      </w:pPr>
      <w:r>
        <w:rPr>
          <w:rFonts w:ascii="Times New Roman"/>
          <w:b w:val="false"/>
          <w:i w:val="false"/>
          <w:color w:val="000000"/>
          <w:sz w:val="28"/>
        </w:rPr>
        <w:t>
      Независимое подразделение банка, ответственное за валидацию, формирует заключение по каждому проверенному параметру с описанием процесса проверки, раскрытием результатов и степени значимости.</w:t>
      </w:r>
    </w:p>
    <w:bookmarkEnd w:id="513"/>
    <w:bookmarkStart w:name="z535" w:id="514"/>
    <w:p>
      <w:pPr>
        <w:spacing w:after="0"/>
        <w:ind w:left="0"/>
        <w:jc w:val="both"/>
      </w:pPr>
      <w:r>
        <w:rPr>
          <w:rFonts w:ascii="Times New Roman"/>
          <w:b w:val="false"/>
          <w:i w:val="false"/>
          <w:color w:val="000000"/>
          <w:sz w:val="28"/>
        </w:rPr>
        <w:t>
      Результаты валидации с подробным обоснованием предоставляются комитету по вопросам управления рисками.</w:t>
      </w:r>
    </w:p>
    <w:bookmarkEnd w:id="514"/>
    <w:bookmarkStart w:name="z536" w:id="515"/>
    <w:p>
      <w:pPr>
        <w:spacing w:after="0"/>
        <w:ind w:left="0"/>
        <w:jc w:val="both"/>
      </w:pPr>
      <w:r>
        <w:rPr>
          <w:rFonts w:ascii="Times New Roman"/>
          <w:b w:val="false"/>
          <w:i w:val="false"/>
          <w:color w:val="000000"/>
          <w:sz w:val="28"/>
        </w:rPr>
        <w:t>
      По результатам рассмотрения результатов валидации комитет по вопросам управления рисками составляет протокол, включающий заключение по вопросу необходимости или отсутствия необходимости внесения изменений в модель.</w:t>
      </w:r>
    </w:p>
    <w:bookmarkEnd w:id="515"/>
    <w:bookmarkStart w:name="z537" w:id="516"/>
    <w:p>
      <w:pPr>
        <w:spacing w:after="0"/>
        <w:ind w:left="0"/>
        <w:jc w:val="both"/>
      </w:pPr>
      <w:r>
        <w:rPr>
          <w:rFonts w:ascii="Times New Roman"/>
          <w:b w:val="false"/>
          <w:i w:val="false"/>
          <w:color w:val="000000"/>
          <w:sz w:val="28"/>
        </w:rPr>
        <w:t>
      В рамках валидации модели требуется провести, в том числе:</w:t>
      </w:r>
    </w:p>
    <w:bookmarkEnd w:id="516"/>
    <w:bookmarkStart w:name="z538" w:id="517"/>
    <w:p>
      <w:pPr>
        <w:spacing w:after="0"/>
        <w:ind w:left="0"/>
        <w:jc w:val="both"/>
      </w:pPr>
      <w:r>
        <w:rPr>
          <w:rFonts w:ascii="Times New Roman"/>
          <w:b w:val="false"/>
          <w:i w:val="false"/>
          <w:color w:val="000000"/>
          <w:sz w:val="28"/>
        </w:rPr>
        <w:t>
      проверку соответствия модели регуляторным требованиям;</w:t>
      </w:r>
    </w:p>
    <w:bookmarkEnd w:id="517"/>
    <w:bookmarkStart w:name="z539" w:id="518"/>
    <w:p>
      <w:pPr>
        <w:spacing w:after="0"/>
        <w:ind w:left="0"/>
        <w:jc w:val="both"/>
      </w:pPr>
      <w:r>
        <w:rPr>
          <w:rFonts w:ascii="Times New Roman"/>
          <w:b w:val="false"/>
          <w:i w:val="false"/>
          <w:color w:val="000000"/>
          <w:sz w:val="28"/>
        </w:rPr>
        <w:t>
      бэк-тестинг модели для определения точности предсказаний модели (проверка точности модели на выборках, отличных от той, на которой модель разрабатывалась). Банк осуществляет проверку релевантности модели на основе наиболее поздних наблюдений;</w:t>
      </w:r>
    </w:p>
    <w:bookmarkEnd w:id="518"/>
    <w:bookmarkStart w:name="z540" w:id="519"/>
    <w:p>
      <w:pPr>
        <w:spacing w:after="0"/>
        <w:ind w:left="0"/>
        <w:jc w:val="both"/>
      </w:pPr>
      <w:r>
        <w:rPr>
          <w:rFonts w:ascii="Times New Roman"/>
          <w:b w:val="false"/>
          <w:i w:val="false"/>
          <w:color w:val="000000"/>
          <w:sz w:val="28"/>
        </w:rPr>
        <w:t>
      проверку глубины и качества данных, использованных при разработке моделей. В рамках проверки необходимо удостовериться эконометрическими тестами в достаточности выборки для последующего моделирования;</w:t>
      </w:r>
    </w:p>
    <w:bookmarkEnd w:id="519"/>
    <w:bookmarkStart w:name="z541" w:id="520"/>
    <w:p>
      <w:pPr>
        <w:spacing w:after="0"/>
        <w:ind w:left="0"/>
        <w:jc w:val="both"/>
      </w:pPr>
      <w:r>
        <w:rPr>
          <w:rFonts w:ascii="Times New Roman"/>
          <w:b w:val="false"/>
          <w:i w:val="false"/>
          <w:color w:val="000000"/>
          <w:sz w:val="28"/>
        </w:rPr>
        <w:t>
      проверку модели на соответствие другим моделям оценки риск-метрик;</w:t>
      </w:r>
    </w:p>
    <w:bookmarkEnd w:id="520"/>
    <w:bookmarkStart w:name="z542" w:id="521"/>
    <w:p>
      <w:pPr>
        <w:spacing w:after="0"/>
        <w:ind w:left="0"/>
        <w:jc w:val="both"/>
      </w:pPr>
      <w:r>
        <w:rPr>
          <w:rFonts w:ascii="Times New Roman"/>
          <w:b w:val="false"/>
          <w:i w:val="false"/>
          <w:color w:val="000000"/>
          <w:sz w:val="28"/>
        </w:rPr>
        <w:t>
      9) применение адекватных и обоснованных экспертных оценок при осуществлении оценки кредитного риска.</w:t>
      </w:r>
    </w:p>
    <w:bookmarkEnd w:id="521"/>
    <w:bookmarkStart w:name="z543" w:id="522"/>
    <w:p>
      <w:pPr>
        <w:spacing w:after="0"/>
        <w:ind w:left="0"/>
        <w:jc w:val="both"/>
      </w:pPr>
      <w:r>
        <w:rPr>
          <w:rFonts w:ascii="Times New Roman"/>
          <w:b w:val="false"/>
          <w:i w:val="false"/>
          <w:color w:val="000000"/>
          <w:sz w:val="28"/>
        </w:rPr>
        <w:t>
      В ситуациях, когда необходимо применение экспертных оценок, банк обеспечивает:</w:t>
      </w:r>
    </w:p>
    <w:bookmarkEnd w:id="522"/>
    <w:bookmarkStart w:name="z544" w:id="523"/>
    <w:p>
      <w:pPr>
        <w:spacing w:after="0"/>
        <w:ind w:left="0"/>
        <w:jc w:val="both"/>
      </w:pPr>
      <w:r>
        <w:rPr>
          <w:rFonts w:ascii="Times New Roman"/>
          <w:b w:val="false"/>
          <w:i w:val="false"/>
          <w:color w:val="000000"/>
          <w:sz w:val="28"/>
        </w:rPr>
        <w:t>
      регламентированный процесс применения экспертных оценок, с указанием лимитов применения таких оценок;</w:t>
      </w:r>
    </w:p>
    <w:bookmarkEnd w:id="523"/>
    <w:bookmarkStart w:name="z545" w:id="524"/>
    <w:p>
      <w:pPr>
        <w:spacing w:after="0"/>
        <w:ind w:left="0"/>
        <w:jc w:val="both"/>
      </w:pPr>
      <w:r>
        <w:rPr>
          <w:rFonts w:ascii="Times New Roman"/>
          <w:b w:val="false"/>
          <w:i w:val="false"/>
          <w:color w:val="000000"/>
          <w:sz w:val="28"/>
        </w:rPr>
        <w:t>
      достаточный уровень компетенции работников, проводящих экспертную оценку;</w:t>
      </w:r>
    </w:p>
    <w:bookmarkEnd w:id="524"/>
    <w:bookmarkStart w:name="z546" w:id="525"/>
    <w:p>
      <w:pPr>
        <w:spacing w:after="0"/>
        <w:ind w:left="0"/>
        <w:jc w:val="both"/>
      </w:pPr>
      <w:r>
        <w:rPr>
          <w:rFonts w:ascii="Times New Roman"/>
          <w:b w:val="false"/>
          <w:i w:val="false"/>
          <w:color w:val="000000"/>
          <w:sz w:val="28"/>
        </w:rPr>
        <w:t>
      единообразный подход в применении экспертных оценок. При одинаковых условиях экспертные оценки не имеют значительных отклонений;</w:t>
      </w:r>
    </w:p>
    <w:bookmarkEnd w:id="525"/>
    <w:bookmarkStart w:name="z547" w:id="526"/>
    <w:p>
      <w:pPr>
        <w:spacing w:after="0"/>
        <w:ind w:left="0"/>
        <w:jc w:val="both"/>
      </w:pPr>
      <w:r>
        <w:rPr>
          <w:rFonts w:ascii="Times New Roman"/>
          <w:b w:val="false"/>
          <w:i w:val="false"/>
          <w:color w:val="000000"/>
          <w:sz w:val="28"/>
        </w:rPr>
        <w:t>
      экспертная оценка осуществляется на основе обоснованных и задокументированных допущений, с применением должной осторожности.</w:t>
      </w:r>
    </w:p>
    <w:bookmarkEnd w:id="526"/>
    <w:bookmarkStart w:name="z548" w:id="527"/>
    <w:p>
      <w:pPr>
        <w:spacing w:after="0"/>
        <w:ind w:left="0"/>
        <w:jc w:val="both"/>
      </w:pPr>
      <w:r>
        <w:rPr>
          <w:rFonts w:ascii="Times New Roman"/>
          <w:b w:val="false"/>
          <w:i w:val="false"/>
          <w:color w:val="000000"/>
          <w:sz w:val="28"/>
        </w:rPr>
        <w:t>
      Применение банком экспертных оценок с учетом исторических данных дополняется анализом текущей рыночной и экономической ситуацией, в частности (по применимости):</w:t>
      </w:r>
    </w:p>
    <w:bookmarkEnd w:id="527"/>
    <w:bookmarkStart w:name="z549" w:id="528"/>
    <w:p>
      <w:pPr>
        <w:spacing w:after="0"/>
        <w:ind w:left="0"/>
        <w:jc w:val="both"/>
      </w:pPr>
      <w:r>
        <w:rPr>
          <w:rFonts w:ascii="Times New Roman"/>
          <w:b w:val="false"/>
          <w:i w:val="false"/>
          <w:color w:val="000000"/>
          <w:sz w:val="28"/>
        </w:rPr>
        <w:t>
      изменениями в процессах предоставления займов, стандартов и практик принятия решений, возвратов, списаний;</w:t>
      </w:r>
    </w:p>
    <w:bookmarkEnd w:id="528"/>
    <w:bookmarkStart w:name="z550" w:id="529"/>
    <w:p>
      <w:pPr>
        <w:spacing w:after="0"/>
        <w:ind w:left="0"/>
        <w:jc w:val="both"/>
      </w:pPr>
      <w:r>
        <w:rPr>
          <w:rFonts w:ascii="Times New Roman"/>
          <w:b w:val="false"/>
          <w:i w:val="false"/>
          <w:color w:val="000000"/>
          <w:sz w:val="28"/>
        </w:rPr>
        <w:t>
      изменениями внешних и внутренних экономических факторов, бизнес среды, с учетом динамики;</w:t>
      </w:r>
    </w:p>
    <w:bookmarkEnd w:id="529"/>
    <w:bookmarkStart w:name="z551" w:id="530"/>
    <w:p>
      <w:pPr>
        <w:spacing w:after="0"/>
        <w:ind w:left="0"/>
        <w:jc w:val="both"/>
      </w:pPr>
      <w:r>
        <w:rPr>
          <w:rFonts w:ascii="Times New Roman"/>
          <w:b w:val="false"/>
          <w:i w:val="false"/>
          <w:color w:val="000000"/>
          <w:sz w:val="28"/>
        </w:rPr>
        <w:t>
      изменениями уровня неработающих и реструктурированных займов;</w:t>
      </w:r>
    </w:p>
    <w:bookmarkEnd w:id="530"/>
    <w:bookmarkStart w:name="z552" w:id="531"/>
    <w:p>
      <w:pPr>
        <w:spacing w:after="0"/>
        <w:ind w:left="0"/>
        <w:jc w:val="both"/>
      </w:pPr>
      <w:r>
        <w:rPr>
          <w:rFonts w:ascii="Times New Roman"/>
          <w:b w:val="false"/>
          <w:i w:val="false"/>
          <w:color w:val="000000"/>
          <w:sz w:val="28"/>
        </w:rPr>
        <w:t>
      появлением новых сегментов рынка и продуктов;</w:t>
      </w:r>
    </w:p>
    <w:bookmarkEnd w:id="531"/>
    <w:bookmarkStart w:name="z553" w:id="532"/>
    <w:p>
      <w:pPr>
        <w:spacing w:after="0"/>
        <w:ind w:left="0"/>
        <w:jc w:val="both"/>
      </w:pPr>
      <w:r>
        <w:rPr>
          <w:rFonts w:ascii="Times New Roman"/>
          <w:b w:val="false"/>
          <w:i w:val="false"/>
          <w:color w:val="000000"/>
          <w:sz w:val="28"/>
        </w:rPr>
        <w:t>
      изменениями концентрации кредитного риска;</w:t>
      </w:r>
    </w:p>
    <w:bookmarkEnd w:id="532"/>
    <w:bookmarkStart w:name="z554" w:id="533"/>
    <w:p>
      <w:pPr>
        <w:spacing w:after="0"/>
        <w:ind w:left="0"/>
        <w:jc w:val="both"/>
      </w:pPr>
      <w:r>
        <w:rPr>
          <w:rFonts w:ascii="Times New Roman"/>
          <w:b w:val="false"/>
          <w:i w:val="false"/>
          <w:color w:val="000000"/>
          <w:sz w:val="28"/>
        </w:rPr>
        <w:t>
      10) наличие необходимых инструментов, включая совокупность инструментов хранения данных, обеспечивающую полную и достоверную информацию о займах (включая дебиторскую задолженность и условные обязательства), а также иных операциях, которым присущ кредитный риск, которые позволяют корректно оценить уровень кредитного риска.</w:t>
      </w:r>
    </w:p>
    <w:bookmarkEnd w:id="533"/>
    <w:bookmarkStart w:name="z555" w:id="534"/>
    <w:p>
      <w:pPr>
        <w:spacing w:after="0"/>
        <w:ind w:left="0"/>
        <w:jc w:val="both"/>
      </w:pPr>
      <w:r>
        <w:rPr>
          <w:rFonts w:ascii="Times New Roman"/>
          <w:b w:val="false"/>
          <w:i w:val="false"/>
          <w:color w:val="000000"/>
          <w:sz w:val="28"/>
        </w:rPr>
        <w:t>
      Банк осуществляет кредитное администрирование в соответствии с процедурами, которые включают, но не ограничиваются следующим:</w:t>
      </w:r>
    </w:p>
    <w:bookmarkEnd w:id="534"/>
    <w:bookmarkStart w:name="z556" w:id="535"/>
    <w:p>
      <w:pPr>
        <w:spacing w:after="0"/>
        <w:ind w:left="0"/>
        <w:jc w:val="both"/>
      </w:pPr>
      <w:r>
        <w:rPr>
          <w:rFonts w:ascii="Times New Roman"/>
          <w:b w:val="false"/>
          <w:i w:val="false"/>
          <w:color w:val="000000"/>
          <w:sz w:val="28"/>
        </w:rPr>
        <w:t>
      проверка соответствия представленных кредитных документов условиям предоставления кредитов;</w:t>
      </w:r>
    </w:p>
    <w:bookmarkEnd w:id="535"/>
    <w:bookmarkStart w:name="z557" w:id="536"/>
    <w:p>
      <w:pPr>
        <w:spacing w:after="0"/>
        <w:ind w:left="0"/>
        <w:jc w:val="both"/>
      </w:pPr>
      <w:r>
        <w:rPr>
          <w:rFonts w:ascii="Times New Roman"/>
          <w:b w:val="false"/>
          <w:i w:val="false"/>
          <w:color w:val="000000"/>
          <w:sz w:val="28"/>
        </w:rPr>
        <w:t>
      проверка соответствия кредитных договоров принятым решениям;</w:t>
      </w:r>
    </w:p>
    <w:bookmarkEnd w:id="536"/>
    <w:bookmarkStart w:name="z558" w:id="537"/>
    <w:p>
      <w:pPr>
        <w:spacing w:after="0"/>
        <w:ind w:left="0"/>
        <w:jc w:val="both"/>
      </w:pPr>
      <w:r>
        <w:rPr>
          <w:rFonts w:ascii="Times New Roman"/>
          <w:b w:val="false"/>
          <w:i w:val="false"/>
          <w:color w:val="000000"/>
          <w:sz w:val="28"/>
        </w:rPr>
        <w:t>
      формирование и ведение кредитного досье.</w:t>
      </w:r>
    </w:p>
    <w:bookmarkEnd w:id="537"/>
    <w:bookmarkStart w:name="z559" w:id="538"/>
    <w:p>
      <w:pPr>
        <w:spacing w:after="0"/>
        <w:ind w:left="0"/>
        <w:jc w:val="both"/>
      </w:pPr>
      <w:r>
        <w:rPr>
          <w:rFonts w:ascii="Times New Roman"/>
          <w:b w:val="false"/>
          <w:i w:val="false"/>
          <w:color w:val="000000"/>
          <w:sz w:val="28"/>
        </w:rPr>
        <w:t>
      Допускается формирование кредитного досье (части кредитного досье) в электронном виде. Кредитное досье содержит (включая, но не ограничиваясь):</w:t>
      </w:r>
    </w:p>
    <w:bookmarkEnd w:id="538"/>
    <w:bookmarkStart w:name="z560" w:id="539"/>
    <w:p>
      <w:pPr>
        <w:spacing w:after="0"/>
        <w:ind w:left="0"/>
        <w:jc w:val="both"/>
      </w:pPr>
      <w:r>
        <w:rPr>
          <w:rFonts w:ascii="Times New Roman"/>
          <w:b w:val="false"/>
          <w:i w:val="false"/>
          <w:color w:val="000000"/>
          <w:sz w:val="28"/>
        </w:rPr>
        <w:t>
      документы по идентификации заемщика:</w:t>
      </w:r>
    </w:p>
    <w:bookmarkEnd w:id="539"/>
    <w:bookmarkStart w:name="z561" w:id="540"/>
    <w:p>
      <w:pPr>
        <w:spacing w:after="0"/>
        <w:ind w:left="0"/>
        <w:jc w:val="both"/>
      </w:pPr>
      <w:r>
        <w:rPr>
          <w:rFonts w:ascii="Times New Roman"/>
          <w:b w:val="false"/>
          <w:i w:val="false"/>
          <w:color w:val="000000"/>
          <w:sz w:val="28"/>
        </w:rPr>
        <w:t xml:space="preserve">
      к данной группе относятся документы, удостоверяющие личность физического лица, документы, связанные с образованием юридического лица (с раскрытием конечных собственников-физических лиц, владеющих прямо или косвенно десятью и более процентами акций или долей участия, за исключением случаев, установленных </w:t>
      </w:r>
      <w:r>
        <w:rPr>
          <w:rFonts w:ascii="Times New Roman"/>
          <w:b w:val="false"/>
          <w:i w:val="false"/>
          <w:color w:val="000000"/>
          <w:sz w:val="28"/>
        </w:rPr>
        <w:t>пунктом 3</w:t>
      </w:r>
      <w:r>
        <w:rPr>
          <w:rFonts w:ascii="Times New Roman"/>
          <w:b w:val="false"/>
          <w:i w:val="false"/>
          <w:color w:val="000000"/>
          <w:sz w:val="28"/>
        </w:rPr>
        <w:t xml:space="preserve"> статьи 8-1 Закона о банках), подтверждением его правосубъектности, а также документы, подтверждающие полномочия лиц, действующих от имени заемщика и уполномоченные подписывать кредитную и залоговую документацию от имени заемщика.</w:t>
      </w:r>
    </w:p>
    <w:bookmarkEnd w:id="540"/>
    <w:bookmarkStart w:name="z562" w:id="541"/>
    <w:p>
      <w:pPr>
        <w:spacing w:after="0"/>
        <w:ind w:left="0"/>
        <w:jc w:val="both"/>
      </w:pPr>
      <w:r>
        <w:rPr>
          <w:rFonts w:ascii="Times New Roman"/>
          <w:b w:val="false"/>
          <w:i w:val="false"/>
          <w:color w:val="000000"/>
          <w:sz w:val="28"/>
        </w:rPr>
        <w:t>
      Документация, относящаяся к определению целевого использования (за исключением овердрафтов, потребительских кредитов без подтверждения целевого использования совокупной суммой менее 0,2 (ноль целых два десятых) процента от собственного капитала банка и кредитов на цели пополнения оборотных средств совокупной суммой менее 0,2 (ноль целых два десятых) процента от собственного капитала банка, синдицированных займов с участием банков-нерезидентов Республики Казахстан):</w:t>
      </w:r>
    </w:p>
    <w:bookmarkEnd w:id="541"/>
    <w:bookmarkStart w:name="z563" w:id="542"/>
    <w:p>
      <w:pPr>
        <w:spacing w:after="0"/>
        <w:ind w:left="0"/>
        <w:jc w:val="both"/>
      </w:pPr>
      <w:r>
        <w:rPr>
          <w:rFonts w:ascii="Times New Roman"/>
          <w:b w:val="false"/>
          <w:i w:val="false"/>
          <w:color w:val="000000"/>
          <w:sz w:val="28"/>
        </w:rPr>
        <w:t>
      к данной группе относятся документы и информация по сделке, в целях совершения которой запрашивается финансирование (включая первоначальные цели финансирования в случае реструктуризации и (или) рефинансирования), в том числе по крупным заемщикам:</w:t>
      </w:r>
    </w:p>
    <w:bookmarkEnd w:id="542"/>
    <w:bookmarkStart w:name="z564" w:id="543"/>
    <w:p>
      <w:pPr>
        <w:spacing w:after="0"/>
        <w:ind w:left="0"/>
        <w:jc w:val="both"/>
      </w:pPr>
      <w:r>
        <w:rPr>
          <w:rFonts w:ascii="Times New Roman"/>
          <w:b w:val="false"/>
          <w:i w:val="false"/>
          <w:color w:val="000000"/>
          <w:sz w:val="28"/>
        </w:rPr>
        <w:t>
      документы, подтверждающие цель использования займа, в том числе для юридических лиц - договоры поставки, купли-продажи, внешнеторговые контракты;</w:t>
      </w:r>
    </w:p>
    <w:bookmarkEnd w:id="543"/>
    <w:bookmarkStart w:name="z565" w:id="544"/>
    <w:p>
      <w:pPr>
        <w:spacing w:after="0"/>
        <w:ind w:left="0"/>
        <w:jc w:val="both"/>
      </w:pPr>
      <w:r>
        <w:rPr>
          <w:rFonts w:ascii="Times New Roman"/>
          <w:b w:val="false"/>
          <w:i w:val="false"/>
          <w:color w:val="000000"/>
          <w:sz w:val="28"/>
        </w:rPr>
        <w:t>
      для юридического лица, сумма займов и условных обязательств по которому превышает, для банков, размер собственного капитала которых превышает 100 (сто) миллиардов тенге - 0,1 (ноль целых одна десятая) процента от собственного капитала банка, для банков, размер собственного капитала которых не превышает 100 (сто) миллиардов тенге - 0,2 (ноль целых две десятые) процента от собственного капитала банка - технико-экономическое обоснование выдачи займа, характеризующее сроки окупаемости и уровень рентабельности кредитуемой сделки, либо бизнес-план заемщика, который отражает информацию об описании деятельности с указанием целей использования займа, рынки сбыта и маркетинговую стратегию заемщика, оценку рисков и управления ими, детализированный по годам финансовый план (финансовые показатели реализации бизнес-плана по годам, источники и объем финансирования бизнес-плана и погашения займа), смету доходов (расходов) (для займов, связанных с инвестиционными целями, стартап проектов или займов, основным источником погашения которых планируются поступления от реализации товаров и (или) услуг, приобретенных за счет кредитных средств).</w:t>
      </w:r>
    </w:p>
    <w:bookmarkEnd w:id="544"/>
    <w:bookmarkStart w:name="z566" w:id="545"/>
    <w:p>
      <w:pPr>
        <w:spacing w:after="0"/>
        <w:ind w:left="0"/>
        <w:jc w:val="both"/>
      </w:pPr>
      <w:r>
        <w:rPr>
          <w:rFonts w:ascii="Times New Roman"/>
          <w:b w:val="false"/>
          <w:i w:val="false"/>
          <w:color w:val="000000"/>
          <w:sz w:val="28"/>
        </w:rPr>
        <w:t>
      Для целей настоящего пункта:</w:t>
      </w:r>
    </w:p>
    <w:bookmarkEnd w:id="545"/>
    <w:bookmarkStart w:name="z567" w:id="546"/>
    <w:p>
      <w:pPr>
        <w:spacing w:after="0"/>
        <w:ind w:left="0"/>
        <w:jc w:val="both"/>
      </w:pPr>
      <w:r>
        <w:rPr>
          <w:rFonts w:ascii="Times New Roman"/>
          <w:b w:val="false"/>
          <w:i w:val="false"/>
          <w:color w:val="000000"/>
          <w:sz w:val="28"/>
        </w:rPr>
        <w:t>
      под кредитом на пополнение оборотных средств понимается кредит, предоставленный для финансирования текущих производственных процессов;</w:t>
      </w:r>
    </w:p>
    <w:bookmarkEnd w:id="546"/>
    <w:bookmarkStart w:name="z568" w:id="547"/>
    <w:p>
      <w:pPr>
        <w:spacing w:after="0"/>
        <w:ind w:left="0"/>
        <w:jc w:val="both"/>
      </w:pPr>
      <w:r>
        <w:rPr>
          <w:rFonts w:ascii="Times New Roman"/>
          <w:b w:val="false"/>
          <w:i w:val="false"/>
          <w:color w:val="000000"/>
          <w:sz w:val="28"/>
        </w:rPr>
        <w:t>
      под потребительским кредитом понимается кредит, предоставленный физическому лицу или индивидуальному предпринимателю без образования юридического лица и соответствующий следующим критериям:</w:t>
      </w:r>
    </w:p>
    <w:bookmarkEnd w:id="547"/>
    <w:bookmarkStart w:name="z569" w:id="548"/>
    <w:p>
      <w:pPr>
        <w:spacing w:after="0"/>
        <w:ind w:left="0"/>
        <w:jc w:val="both"/>
      </w:pPr>
      <w:r>
        <w:rPr>
          <w:rFonts w:ascii="Times New Roman"/>
          <w:b w:val="false"/>
          <w:i w:val="false"/>
          <w:color w:val="000000"/>
          <w:sz w:val="28"/>
        </w:rPr>
        <w:t>
      выдача кредита не связана с целью финансирования предпринимательской деятельности и предполагается, что кредит не будет использован заемщиком для осуществления предпринимательской деятельности;</w:t>
      </w:r>
    </w:p>
    <w:bookmarkEnd w:id="548"/>
    <w:bookmarkStart w:name="z570" w:id="549"/>
    <w:p>
      <w:pPr>
        <w:spacing w:after="0"/>
        <w:ind w:left="0"/>
        <w:jc w:val="both"/>
      </w:pPr>
      <w:r>
        <w:rPr>
          <w:rFonts w:ascii="Times New Roman"/>
          <w:b w:val="false"/>
          <w:i w:val="false"/>
          <w:color w:val="000000"/>
          <w:sz w:val="28"/>
        </w:rPr>
        <w:t>
      кредит планируется направить на приобретение товаров длительного пользования (жилой недвижимости, автомобилей, бытовой техники, мебели и иное) и (или) оплату различных услуг (образовательных, туристических, медицинских, ремонтно-строительных и иное) и (или) прочие покупки и цели (рефинансирование займа в другом банке (в случае если ранее полученный заем связан с потребительскими целями), мобильные телефоны, продукты питания и иное);</w:t>
      </w:r>
    </w:p>
    <w:bookmarkEnd w:id="549"/>
    <w:bookmarkStart w:name="z571" w:id="550"/>
    <w:p>
      <w:pPr>
        <w:spacing w:after="0"/>
        <w:ind w:left="0"/>
        <w:jc w:val="both"/>
      </w:pPr>
      <w:r>
        <w:rPr>
          <w:rFonts w:ascii="Times New Roman"/>
          <w:b w:val="false"/>
          <w:i w:val="false"/>
          <w:color w:val="000000"/>
          <w:sz w:val="28"/>
        </w:rPr>
        <w:t>
      получатель кредита имеет постоянный источник дохода (заработная плата, пенсия, пособия, дивиденды от ценных бумаг, доходы от сдачи в аренду недвижимости и другие доходы), объективно позволяющий ему обслуживать обязательства перед банком по полученному кредиту, подтвержденный в порядке, определенном внутренними документами банка.</w:t>
      </w:r>
    </w:p>
    <w:bookmarkEnd w:id="550"/>
    <w:bookmarkStart w:name="z572" w:id="551"/>
    <w:p>
      <w:pPr>
        <w:spacing w:after="0"/>
        <w:ind w:left="0"/>
        <w:jc w:val="both"/>
      </w:pPr>
      <w:r>
        <w:rPr>
          <w:rFonts w:ascii="Times New Roman"/>
          <w:b w:val="false"/>
          <w:i w:val="false"/>
          <w:color w:val="000000"/>
          <w:sz w:val="28"/>
        </w:rPr>
        <w:t>
      Документы необходимые для анализа финансового состояния клиента и качества обеспечения:</w:t>
      </w:r>
    </w:p>
    <w:bookmarkEnd w:id="551"/>
    <w:bookmarkStart w:name="z573" w:id="552"/>
    <w:p>
      <w:pPr>
        <w:spacing w:after="0"/>
        <w:ind w:left="0"/>
        <w:jc w:val="both"/>
      </w:pPr>
      <w:r>
        <w:rPr>
          <w:rFonts w:ascii="Times New Roman"/>
          <w:b w:val="false"/>
          <w:i w:val="false"/>
          <w:color w:val="000000"/>
          <w:sz w:val="28"/>
        </w:rPr>
        <w:t>
      к данной группе документов относятся все документы, на основании которых проводится анализ финансового состояния заемщика и отражающие основные экономические показатели деятельности заемщика, а также документы, подтверждающие наличие, качество, размер принимаемого обеспечения, которые включают (но не ограничиваясь):</w:t>
      </w:r>
    </w:p>
    <w:bookmarkEnd w:id="552"/>
    <w:bookmarkStart w:name="z574" w:id="553"/>
    <w:p>
      <w:pPr>
        <w:spacing w:after="0"/>
        <w:ind w:left="0"/>
        <w:jc w:val="both"/>
      </w:pPr>
      <w:r>
        <w:rPr>
          <w:rFonts w:ascii="Times New Roman"/>
          <w:b w:val="false"/>
          <w:i w:val="false"/>
          <w:color w:val="000000"/>
          <w:sz w:val="28"/>
        </w:rPr>
        <w:t>
      документы, подтверждающие полномочия лица, уполномоченного подписывать залоговую документацию;</w:t>
      </w:r>
    </w:p>
    <w:bookmarkEnd w:id="553"/>
    <w:bookmarkStart w:name="z575" w:id="554"/>
    <w:p>
      <w:pPr>
        <w:spacing w:after="0"/>
        <w:ind w:left="0"/>
        <w:jc w:val="both"/>
      </w:pPr>
      <w:r>
        <w:rPr>
          <w:rFonts w:ascii="Times New Roman"/>
          <w:b w:val="false"/>
          <w:i w:val="false"/>
          <w:color w:val="000000"/>
          <w:sz w:val="28"/>
        </w:rPr>
        <w:t>
      отчет оценщика об оценке недвижимого имущества;</w:t>
      </w:r>
    </w:p>
    <w:bookmarkEnd w:id="554"/>
    <w:bookmarkStart w:name="z576" w:id="555"/>
    <w:p>
      <w:pPr>
        <w:spacing w:after="0"/>
        <w:ind w:left="0"/>
        <w:jc w:val="both"/>
      </w:pPr>
      <w:r>
        <w:rPr>
          <w:rFonts w:ascii="Times New Roman"/>
          <w:b w:val="false"/>
          <w:i w:val="false"/>
          <w:color w:val="000000"/>
          <w:sz w:val="28"/>
        </w:rPr>
        <w:t>
      заключение подразделения залоговой службы по адекватности оценки залога оценщиком в соответствии с требованиями Правил и внутренними документами банка;</w:t>
      </w:r>
    </w:p>
    <w:bookmarkEnd w:id="555"/>
    <w:bookmarkStart w:name="z577" w:id="556"/>
    <w:p>
      <w:pPr>
        <w:spacing w:after="0"/>
        <w:ind w:left="0"/>
        <w:jc w:val="both"/>
      </w:pPr>
      <w:r>
        <w:rPr>
          <w:rFonts w:ascii="Times New Roman"/>
          <w:b w:val="false"/>
          <w:i w:val="false"/>
          <w:color w:val="000000"/>
          <w:sz w:val="28"/>
        </w:rPr>
        <w:t>
      документы, подтверждающие права на объект залога;</w:t>
      </w:r>
    </w:p>
    <w:bookmarkEnd w:id="556"/>
    <w:bookmarkStart w:name="z578" w:id="557"/>
    <w:p>
      <w:pPr>
        <w:spacing w:after="0"/>
        <w:ind w:left="0"/>
        <w:jc w:val="both"/>
      </w:pPr>
      <w:r>
        <w:rPr>
          <w:rFonts w:ascii="Times New Roman"/>
          <w:b w:val="false"/>
          <w:i w:val="false"/>
          <w:color w:val="000000"/>
          <w:sz w:val="28"/>
        </w:rPr>
        <w:t>
      копию договора о залоге, содержащего отметку о его регистрации в уполномоченных регистрирующих органах.</w:t>
      </w:r>
    </w:p>
    <w:bookmarkEnd w:id="557"/>
    <w:bookmarkStart w:name="z579" w:id="558"/>
    <w:p>
      <w:pPr>
        <w:spacing w:after="0"/>
        <w:ind w:left="0"/>
        <w:jc w:val="both"/>
      </w:pPr>
      <w:r>
        <w:rPr>
          <w:rFonts w:ascii="Times New Roman"/>
          <w:b w:val="false"/>
          <w:i w:val="false"/>
          <w:color w:val="000000"/>
          <w:sz w:val="28"/>
        </w:rPr>
        <w:t>
      Документация, необходимая для проведения кредитного мониторинга. К данной группе относится документация, формируемая подразделениями банка в ходе ведения займа или необходимая для подтверждения периодического кредитного мониторинга, а также процедуры актуализации сведений о заемщиках (контрагентах) для целей управления кредитным риском;</w:t>
      </w:r>
    </w:p>
    <w:bookmarkEnd w:id="558"/>
    <w:bookmarkStart w:name="z580" w:id="559"/>
    <w:p>
      <w:pPr>
        <w:spacing w:after="0"/>
        <w:ind w:left="0"/>
        <w:jc w:val="both"/>
      </w:pPr>
      <w:r>
        <w:rPr>
          <w:rFonts w:ascii="Times New Roman"/>
          <w:b w:val="false"/>
          <w:i w:val="false"/>
          <w:color w:val="000000"/>
          <w:sz w:val="28"/>
        </w:rPr>
        <w:t>
      11) наличие и функционирование системы управленческой информации.</w:t>
      </w:r>
    </w:p>
    <w:bookmarkEnd w:id="559"/>
    <w:bookmarkStart w:name="z581" w:id="560"/>
    <w:p>
      <w:pPr>
        <w:spacing w:after="0"/>
        <w:ind w:left="0"/>
        <w:jc w:val="both"/>
      </w:pPr>
      <w:r>
        <w:rPr>
          <w:rFonts w:ascii="Times New Roman"/>
          <w:b w:val="false"/>
          <w:i w:val="false"/>
          <w:color w:val="000000"/>
          <w:sz w:val="28"/>
        </w:rPr>
        <w:t>
      Банк разрабатывает формы управленческой отчетности, которые, включают, но не ограничиваясь, следующую информацию:</w:t>
      </w:r>
    </w:p>
    <w:bookmarkEnd w:id="560"/>
    <w:bookmarkStart w:name="z582" w:id="561"/>
    <w:p>
      <w:pPr>
        <w:spacing w:after="0"/>
        <w:ind w:left="0"/>
        <w:jc w:val="both"/>
      </w:pPr>
      <w:r>
        <w:rPr>
          <w:rFonts w:ascii="Times New Roman"/>
          <w:b w:val="false"/>
          <w:i w:val="false"/>
          <w:color w:val="000000"/>
          <w:sz w:val="28"/>
        </w:rPr>
        <w:t>
      о кредитном портфеле и его качестве, представленную в том числе в динамике его изменений;</w:t>
      </w:r>
    </w:p>
    <w:bookmarkEnd w:id="561"/>
    <w:bookmarkStart w:name="z583" w:id="562"/>
    <w:p>
      <w:pPr>
        <w:spacing w:after="0"/>
        <w:ind w:left="0"/>
        <w:jc w:val="both"/>
      </w:pPr>
      <w:r>
        <w:rPr>
          <w:rFonts w:ascii="Times New Roman"/>
          <w:b w:val="false"/>
          <w:i w:val="false"/>
          <w:color w:val="000000"/>
          <w:sz w:val="28"/>
        </w:rPr>
        <w:t>
      о размере (уровне) подверженности кредитному риску, в том числе включая оценку приближения совокупной подверженности к установленным в банке лимитам по различным видам кредитов (предлимитный подход);</w:t>
      </w:r>
    </w:p>
    <w:bookmarkEnd w:id="562"/>
    <w:bookmarkStart w:name="z584" w:id="563"/>
    <w:p>
      <w:pPr>
        <w:spacing w:after="0"/>
        <w:ind w:left="0"/>
        <w:jc w:val="both"/>
      </w:pPr>
      <w:r>
        <w:rPr>
          <w:rFonts w:ascii="Times New Roman"/>
          <w:b w:val="false"/>
          <w:i w:val="false"/>
          <w:color w:val="000000"/>
          <w:sz w:val="28"/>
        </w:rPr>
        <w:t>
      о подверженности кредитному риску в отношении группы связанных заемщиков и динамике ее изменения;</w:t>
      </w:r>
    </w:p>
    <w:bookmarkEnd w:id="563"/>
    <w:bookmarkStart w:name="z585" w:id="564"/>
    <w:p>
      <w:pPr>
        <w:spacing w:after="0"/>
        <w:ind w:left="0"/>
        <w:jc w:val="both"/>
      </w:pPr>
      <w:r>
        <w:rPr>
          <w:rFonts w:ascii="Times New Roman"/>
          <w:b w:val="false"/>
          <w:i w:val="false"/>
          <w:color w:val="000000"/>
          <w:sz w:val="28"/>
        </w:rPr>
        <w:t>
      о концентрации кредитного риска крупнейших заемщиков (контрагентов) и заемщиков (контрагентов), связанных с банком особыми отношениями, в том числе с акционерами банка, и динамике его изменения;</w:t>
      </w:r>
    </w:p>
    <w:bookmarkEnd w:id="564"/>
    <w:bookmarkStart w:name="z586" w:id="565"/>
    <w:p>
      <w:pPr>
        <w:spacing w:after="0"/>
        <w:ind w:left="0"/>
        <w:jc w:val="both"/>
      </w:pPr>
      <w:r>
        <w:rPr>
          <w:rFonts w:ascii="Times New Roman"/>
          <w:b w:val="false"/>
          <w:i w:val="false"/>
          <w:color w:val="000000"/>
          <w:sz w:val="28"/>
        </w:rPr>
        <w:t>
      о внутренних рейтингах заемщиков (контрагентов) и динамике их изменения, о мониторинге качества кредитов по рейтингам заемщиков (контрагентов) и его периодичность;</w:t>
      </w:r>
    </w:p>
    <w:bookmarkEnd w:id="565"/>
    <w:bookmarkStart w:name="z587" w:id="566"/>
    <w:p>
      <w:pPr>
        <w:spacing w:after="0"/>
        <w:ind w:left="0"/>
        <w:jc w:val="both"/>
      </w:pPr>
      <w:r>
        <w:rPr>
          <w:rFonts w:ascii="Times New Roman"/>
          <w:b w:val="false"/>
          <w:i w:val="false"/>
          <w:color w:val="000000"/>
          <w:sz w:val="28"/>
        </w:rPr>
        <w:t>
      о размере провизий и оценке уровня адекватности провизий;</w:t>
      </w:r>
    </w:p>
    <w:bookmarkEnd w:id="566"/>
    <w:bookmarkStart w:name="z588" w:id="567"/>
    <w:p>
      <w:pPr>
        <w:spacing w:after="0"/>
        <w:ind w:left="0"/>
        <w:jc w:val="both"/>
      </w:pPr>
      <w:r>
        <w:rPr>
          <w:rFonts w:ascii="Times New Roman"/>
          <w:b w:val="false"/>
          <w:i w:val="false"/>
          <w:color w:val="000000"/>
          <w:sz w:val="28"/>
        </w:rPr>
        <w:t>
      о реструктурируемых, рефинансируемых и проблемных кредитах;</w:t>
      </w:r>
    </w:p>
    <w:bookmarkEnd w:id="567"/>
    <w:bookmarkStart w:name="z589" w:id="568"/>
    <w:p>
      <w:pPr>
        <w:spacing w:after="0"/>
        <w:ind w:left="0"/>
        <w:jc w:val="both"/>
      </w:pPr>
      <w:r>
        <w:rPr>
          <w:rFonts w:ascii="Times New Roman"/>
          <w:b w:val="false"/>
          <w:i w:val="false"/>
          <w:color w:val="000000"/>
          <w:sz w:val="28"/>
        </w:rPr>
        <w:t>
      о мониторинге и контроле за соблюдением лимитов;</w:t>
      </w:r>
    </w:p>
    <w:bookmarkEnd w:id="568"/>
    <w:bookmarkStart w:name="z590" w:id="569"/>
    <w:p>
      <w:pPr>
        <w:spacing w:after="0"/>
        <w:ind w:left="0"/>
        <w:jc w:val="both"/>
      </w:pPr>
      <w:r>
        <w:rPr>
          <w:rFonts w:ascii="Times New Roman"/>
          <w:b w:val="false"/>
          <w:i w:val="false"/>
          <w:color w:val="000000"/>
          <w:sz w:val="28"/>
        </w:rPr>
        <w:t>
      об отклонениях от политики и лимитов.".</w:t>
      </w:r>
    </w:p>
    <w:bookmarkEnd w:id="5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Перечню</w:t>
            </w:r>
            <w:r>
              <w:br/>
            </w:r>
            <w:r>
              <w:rPr>
                <w:rFonts w:ascii="Times New Roman"/>
                <w:b w:val="false"/>
                <w:i w:val="false"/>
                <w:color w:val="000000"/>
                <w:sz w:val="20"/>
              </w:rPr>
              <w:t>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вопросам регулирования</w:t>
            </w:r>
            <w:r>
              <w:br/>
            </w:r>
            <w:r>
              <w:rPr>
                <w:rFonts w:ascii="Times New Roman"/>
                <w:b w:val="false"/>
                <w:i w:val="false"/>
                <w:color w:val="000000"/>
                <w:sz w:val="20"/>
              </w:rPr>
              <w:t>банковской деятельности,</w:t>
            </w:r>
            <w:r>
              <w:br/>
            </w:r>
            <w:r>
              <w:rPr>
                <w:rFonts w:ascii="Times New Roman"/>
                <w:b w:val="false"/>
                <w:i w:val="false"/>
                <w:color w:val="000000"/>
                <w:sz w:val="20"/>
              </w:rPr>
              <w:t>в 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Нормативным значениям</w:t>
            </w:r>
            <w:r>
              <w:br/>
            </w:r>
            <w:r>
              <w:rPr>
                <w:rFonts w:ascii="Times New Roman"/>
                <w:b w:val="false"/>
                <w:i w:val="false"/>
                <w:color w:val="000000"/>
                <w:sz w:val="20"/>
              </w:rPr>
              <w:t>и методикам расчетов</w:t>
            </w:r>
            <w:r>
              <w:br/>
            </w:r>
            <w:r>
              <w:rPr>
                <w:rFonts w:ascii="Times New Roman"/>
                <w:b w:val="false"/>
                <w:i w:val="false"/>
                <w:color w:val="000000"/>
                <w:sz w:val="20"/>
              </w:rPr>
              <w:t>пруденциальных нормативов</w:t>
            </w:r>
            <w:r>
              <w:br/>
            </w:r>
            <w:r>
              <w:rPr>
                <w:rFonts w:ascii="Times New Roman"/>
                <w:b w:val="false"/>
                <w:i w:val="false"/>
                <w:color w:val="000000"/>
                <w:sz w:val="20"/>
              </w:rPr>
              <w:t>и иных обязательных</w:t>
            </w:r>
            <w:r>
              <w:br/>
            </w:r>
            <w:r>
              <w:rPr>
                <w:rFonts w:ascii="Times New Roman"/>
                <w:b w:val="false"/>
                <w:i w:val="false"/>
                <w:color w:val="000000"/>
                <w:sz w:val="20"/>
              </w:rPr>
              <w:t>к соблюдению норм и лимитов,</w:t>
            </w:r>
            <w:r>
              <w:br/>
            </w:r>
            <w:r>
              <w:rPr>
                <w:rFonts w:ascii="Times New Roman"/>
                <w:b w:val="false"/>
                <w:i w:val="false"/>
                <w:color w:val="000000"/>
                <w:sz w:val="20"/>
              </w:rPr>
              <w:t>размеру капитала банка</w:t>
            </w:r>
          </w:p>
        </w:tc>
      </w:tr>
    </w:tbl>
    <w:bookmarkStart w:name="z593" w:id="570"/>
    <w:p>
      <w:pPr>
        <w:spacing w:after="0"/>
        <w:ind w:left="0"/>
        <w:jc w:val="left"/>
      </w:pPr>
      <w:r>
        <w:rPr>
          <w:rFonts w:ascii="Times New Roman"/>
          <w:b/>
          <w:i w:val="false"/>
          <w:color w:val="000000"/>
        </w:rPr>
        <w:t xml:space="preserve"> Таблица активов банка, взвешенных по степени кредитного риска вложений</w:t>
      </w:r>
    </w:p>
    <w:bookmarkEnd w:id="5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риска в процентах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Наличные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Наличная иностранная валюта стран, имеющих суверенный рейтинг не ниже "АА-"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Правительству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правительствам стран, имеющих суверенный рейтинг не ниже "АА-"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Национальному Банку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банкам стран с суверенным рейтингом не ниже "АА-" агентства Standard &amp; Poor's (Стандард энд Пурс) или рейтингом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международным финансовым организациям с долговым рейтингом не ниже "АА-" агентства Standard &amp; Poor's (Стандард энд Пурс) или рейтингом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акционерному обществу "Фонд национального благосостояния "Самрук-Қазына"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Национальном Банке Республики Казахстан и иные требования к Национальному Банку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с суверенным рейтингом не ниже "АА-" агентства Standard &amp; Poor's (Стандард энд Пурс) или рейтингом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с долговым рейтингом не ниже "АА-" агентства Standard &amp; Poor's (Стандард энд Пурс) или рейтингом аналогичного уровня одного из других рейтинговых агентств, вклады в Евразийском Банке Развития в национальной валюте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Правительства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местных исполнительных органов Республики Казахстан по налогам и другим платежам в бюджет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выпущенные Правительством Республики Казахстан и Национальным Банком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выпущенные местными исполнительными органами городов Астаны, Алматы и Шымкента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акционерным обществом "Банк Развития Казахстана" в соответствии с Законом Республики Казахстан "О рынке ценных бумаг", акционерными обществами "Фонд национального благосостояния "Самрук-Қазына", "Национальный управляющий холдинг "Байтерек", "Фонд проблемных кредитов", а также ценные бумаги, выпущенные Евразийским Банком Развития и номинированные в национальной валюте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юридическим лицом, осуществляющим выкуп ипотечных займов физических лиц, не связанных с предпринимательской деятельностью, 100 (сто) процентов акций которого принадлежат Национальному Банку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иностранных государств, суверенный рейтинг которых не ниже "АА-"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не ниже "АА-"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открытым корреспондентским счетам к банкам, имеющим долгосрочный рейтинг не ниже "ВВВ"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 І группу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Наличная иностранная валюта стран, имеющих суверенный рейтинг ниже "АА-" агентства Standard &amp; Poor's (Стандард энд Пурс)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правительствам стран, имеющих суверенный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банкам стран, имеющих суверенный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международным финансовым организациям, имеющим долговой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местным исполнительным органам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местным органам власти стран, имеющих суверенный рейтинг не ниже "АА-"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организациям, имеющим долговой рейтинг не ниже "АА-"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 имеющих долговой рейтинг не ниже "АА-"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местных исполнительных органов Республики Казахстан, за исключением дебиторской задолженности, отнесенной к І группе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 имеющих долговой рейтинг не ниже "АА-"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стран, имеющих суверенный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выпущенные местными исполнительными органами Республики Казахстан, за исключением государственных ценных бумаг, выпущенных местными исполнительными органами городов Астаны, Алматы и Шымкента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суверенный рейтинг которых не ниже "АА-"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 имеющими долговой рейтинг не ниже "АА-"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балансе и имеющие кредитный рейтинг от "ААА" до "АА-" агентства Standard &amp; Poor's (Стандард энд Пурс) или рейтинг аналогичного уровня одного из других рейтинговых агентств или рейтинговую оценку от "kzAAA" до "kzAA-" по национальной шкале агентства Standard &amp; Poor's (Стандард энд Пурс)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во II группу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Неаффинированные драгоценные металлы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правительствам стран, имеющих суверенный рейтинг от "ВВВ+" до "ВВВ-"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банкам стран, имеющих суверенный рейтинг от "ВВВ+" до "ВВВ-"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международным финансовым организациям, имеющим долговой рейтинг от "ВВВ+" до "ВВВ-"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местным органам власти стран, имеющих суверенный рейтинг не ниже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организациям, имеющим долговой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жилищные займы (за исключением займов, выданных физическим лицам, указанных в строках 77, 79 и 80 настоящей таблицы), соответствующие следующему условию: отношение суммы предоставленного ипотечного жилищного займа к стоимости залога не превышает 50 (пятидесяти) процентов включительно от стоимости залога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жилищные займы, а также вознаграждения по ним, соответствующие условиям для выкупа, установленным юридическим лицом, осуществляющим выкуп ипотечных займов физических лиц, не связанных с предпринимательской деятельностью, 100 (сто) процентов акций которого принадлежат Национальному Банку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ипотечным жилищным займам, переуступленным юридическому лицу, осуществляющему выкуп ипотечных займов физических лиц, не связанных с предпринимательской деятельностью, 100 (сто) процентов акций которого принадлежат Национальному Банку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жилищные займы (за исключением займов выданных физическим лицам, указанных в строках 77, 79 и 80 настоящей таблицы), соответствующие следующему условию: отношение суммы предоставленного ипотечного жилищного займа к стоимости залога находится в пределах от 51 (пятидесяти одного) процента до 85 (восьмидесяти пяти) процентов включительно от стоимости залога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ипотечные жилищные займы (за исключением займов, выданных физическим лицам, указанных в строках 77, 79 и 80 настоящей таблицы)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и займов, указанных в строках 76, 77, 78, 79 и 80 настоящей таблицы, а также беззалоговых потребительских займов, выданных физическим лицам) по которым сформировано менее 35 (тридцати пяти) процентов провизий (резервов) согласно международным стандартам финансовой отчетности от непогашенной части займов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и займов, указанных в строках 76, 77, 78, 79 и 80 настоящей таблицы, а также беззалоговых потребительских займов, выданных физическим лицам), по которым сформировано более 35 (тридцати пяти) процентов и менее 50 (пятидесяти) процентов провизий (резервов) согласно международным стандартам финансовой отчетности от непогашенной части займов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и займов, указанных в строках 76, 77, 78, 79 и 80 настоящей таблицы, а также беззалоговых потребительских займов, выданных физическим лицам), по которым сформировано более 50 (пятидесяти) процентов провизий (резервов) согласно международным стандартам финансовой отчетности от непогашенной части займов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субъектам, отнесенным к малому или среднему предпринимательству согласно Предпринимательскому кодексу Республики Казахстан, соответствующие следующим критериям: 1) сумма займа не превышает 500 (пятьсот) миллионов тенге или 0,2 (ноль целых две десятых) процента от собственного капитала; 2) валюта займа -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июня 2024 года по 31 декабря 2025 года – 50</w:t>
            </w:r>
          </w:p>
          <w:p>
            <w:pPr>
              <w:spacing w:after="20"/>
              <w:ind w:left="20"/>
              <w:jc w:val="both"/>
            </w:pPr>
            <w:r>
              <w:rPr>
                <w:rFonts w:ascii="Times New Roman"/>
                <w:b w:val="false"/>
                <w:i w:val="false"/>
                <w:color w:val="000000"/>
                <w:sz w:val="20"/>
              </w:rPr>
              <w:t>с 1 января 2026 года –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выданные юридическим лицам в тенге в рамках синдицированного финансирования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июня 2024 года по 31 декабря 2025 года включительно - 50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от "ВВВ+" до "ВВВ-"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от "ВВВ+" до "ВВВ-"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 имеющих долговой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 имеющих долговой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стран, имеющих суверенный рейтинг от "ВВВ+" до "ВВВ-"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от "ВВВ+" до "ВВВ-"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имеющих суверенный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 имеющими долговой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субъектами, отнесенными к малому или среднему предпринимательству согласно Предпринимательскому кодексу Республики Казахстан, включенные в сектор "Долговые ценные бумаги" площадки "Основная" либо "Альтернативная" официального списка акционерного общества "Казахстанская фондовая биржа", имеющие гарантию акционерного общества "Фонд развития предпринимательства "ДАМУ" и (или) акционерного общества "Банк Развития Казахстана", сумма которой покрывает не менее 50 (пятидесяти) процентов номинальной стоимости данных ценных бумаг, и соответствующие следующим критериям:</w:t>
            </w:r>
          </w:p>
          <w:p>
            <w:pPr>
              <w:spacing w:after="20"/>
              <w:ind w:left="20"/>
              <w:jc w:val="both"/>
            </w:pPr>
            <w:r>
              <w:rPr>
                <w:rFonts w:ascii="Times New Roman"/>
                <w:b w:val="false"/>
                <w:i w:val="false"/>
                <w:color w:val="000000"/>
                <w:sz w:val="20"/>
              </w:rPr>
              <w:t>1) объем инвестиций в один выпуск ценных бумаг эмитента не превышает 0,02 (ноль целых две сотых) процента от собственного капитала;</w:t>
            </w:r>
          </w:p>
          <w:p>
            <w:pPr>
              <w:spacing w:after="20"/>
              <w:ind w:left="20"/>
              <w:jc w:val="both"/>
            </w:pPr>
            <w:r>
              <w:rPr>
                <w:rFonts w:ascii="Times New Roman"/>
                <w:b w:val="false"/>
                <w:i w:val="false"/>
                <w:color w:val="000000"/>
                <w:sz w:val="20"/>
              </w:rPr>
              <w:t>2) валюта выпуска ценных бумаг –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балансе и имеющие кредитный рейтинг от "А+" до "А-" агентства Standard &amp; Poor's (Стандард энд Пурс) или рейтинг аналогичного уровня одного из других рейтинговых агентств или рейтинговую оценку от "kzA+" до "kzA-" по национальной шкале агентства Standard &amp; Poor's (Стандард энд Пурс)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открытым корреспондентским счетам к банкам-резидентам Республики Казахстан, имеющим долговой рейтинг от "ВВВ-" до "ВВ-" (включительно) агентства Standard &amp; Poor's (Стандард энд Пурс) или рейтинг аналогичного уровня одного из других рейтинговых агентств, или банку-нерезиденту Республики Казахстан, имеющему долговой рейтинг от "ВВВ-" до "ВВ+" (включительно)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акционерному обществу "Казахстанская фондовая биржа"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 III группу риска (за исключением начисленных вознаграждений по активам, указанных в строках 49 и 50 настоящей таблицы)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правительствам стран, имеющих суверенный рейтинг от "ВВ+" до "В-" агентства Standard &amp; Poor's (Стандард энд Пурс)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банкам стран, имеющих суверенный рейтинг от "ВВ+" до "В-" агентства Standard &amp; Poor's (Стандард энд Пурс)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международным финансовым организациям, имеющим долговой рейтинг от "ВВ+" до "В-" агентства Standard &amp; Poor's (Стандард энд Пурс) или рейтинг аналогичного уровня одного из других рейтинговых агентств, и международным финансовым организациям, не имеющим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местным органам власти стран, имеющих долговой рейтинг от "ВВВ+" до "ВВ-" агентства Standard &amp; Poor's (Стандард энд Пурс)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организациям-резидентам Республики Казахстан, имеющим долговой рейтинг ниже "А-" агентства Standard &amp; Poor's (Стандард энд Пурс) или рейтинг аналогичного уровня одного из других рейтинговых агентств, организациям-резидентам Республики Казахстан, не имеющим соответствующей рейтинговой оценки, и организациям-нерезидентам, имеющим долговой рейтинг от "ВВВ+" до "ВВ-"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выданные с 1 января 2016 года и предоставленные на срок более 1 (одного) года в иностранной валюте организациям-резидентам Республики Казахстан, имеющим долговой рейтинг ниже "А-" агентства Standard &amp; Poor's (Стандард энд Пурс) или рейтинг аналогичного уровня одного из других рейтинговых агентств, организациям-резидентам Республики Казахстан, не имеющим соответствующей рейтинговой оценки, и организациям-нерезидентам Республики Казахстан, имеющим долговой рейтинг от "ВВВ+" до "ВВ-" агентства Standard &amp; Poor's (Стандард энд Пурс) или рейтинг аналогичного уровня одного из других рейтинговых агентств,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физическим лицам до 1 января 2016 года, в том числе потребительские займы, за исключением отнесенных к III группе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выданные с 1 января 2016 года и предоставленные на срок более 1 (одного) года в иностранной валюте физическим лицам, в том числе потребительские займы, за исключением отнесенных к III группе риска,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Необеспеченные займы, выданные физическим лицам с 1 января 2016 года по 31 декабря 2019 года, в том числе потребительские займы, соответствующие одному из следующих критериев, рассчитываемых банком:</w:t>
            </w:r>
          </w:p>
          <w:p>
            <w:pPr>
              <w:spacing w:after="20"/>
              <w:ind w:left="20"/>
              <w:jc w:val="both"/>
            </w:pPr>
            <w:r>
              <w:rPr>
                <w:rFonts w:ascii="Times New Roman"/>
                <w:b w:val="false"/>
                <w:i w:val="false"/>
                <w:color w:val="000000"/>
                <w:sz w:val="20"/>
              </w:rPr>
              <w:t>с 1 января 2017 года по 31 декабря 2019 года ежемесячно при мониторинге займов:</w:t>
            </w:r>
          </w:p>
          <w:p>
            <w:pPr>
              <w:spacing w:after="20"/>
              <w:ind w:left="20"/>
              <w:jc w:val="both"/>
            </w:pPr>
            <w:r>
              <w:rPr>
                <w:rFonts w:ascii="Times New Roman"/>
                <w:b w:val="false"/>
                <w:i w:val="false"/>
                <w:color w:val="000000"/>
                <w:sz w:val="20"/>
              </w:rPr>
              <w:t xml:space="preserve">1) уровень коэффициента долговой нагрузки заемщика, рассчитанного в соответствии с главой 9 Нормативных значений и методик расчетов пруденциальных нормативов и иных обязательных к соблюдению норм и лимитов, размера капитала банка, установленных </w:t>
            </w:r>
            <w:r>
              <w:rPr>
                <w:rFonts w:ascii="Times New Roman"/>
                <w:b w:val="false"/>
                <w:i w:val="false"/>
                <w:color w:val="000000"/>
                <w:sz w:val="20"/>
              </w:rPr>
              <w:t>постановлением</w:t>
            </w:r>
            <w:r>
              <w:rPr>
                <w:rFonts w:ascii="Times New Roman"/>
                <w:b w:val="false"/>
                <w:i w:val="false"/>
                <w:color w:val="000000"/>
                <w:sz w:val="20"/>
              </w:rPr>
              <w:t xml:space="preserve"> Правления Национального Банка Республики Казахстан от 13 сентября 2017 года № 170 (зарегистрированным в Реестре государственной регистрации нормативных правовых актов под № 15886), с использованием для расчета среднего ежемесячного дохода заемщика - физического лица выписки из единого накопительного пенсионного фонда с индивидуального пенсионного счета за последние 6 (шесть) месяцев или информации о получении заемщиком заработной платы через платежные карточки банка в течение 6 (шести) последовательных месяцев, предшествующих дате обращения заемщика, превышает 0,35; 2) просрочка платежей по задолженности по любому действующему или закрытому займу и (или) вознаграждению по нему за последние 24 (двадцать четыре) месяца, предшествующие дате выдачи, составляет более 60 (шестидесяти) календарных дней либо допускалась просрочка платежей более 3 (трех) раз сроком более 30 (тридцати) календарных дней;</w:t>
            </w:r>
          </w:p>
          <w:p>
            <w:pPr>
              <w:spacing w:after="20"/>
              <w:ind w:left="20"/>
              <w:jc w:val="both"/>
            </w:pPr>
            <w:r>
              <w:rPr>
                <w:rFonts w:ascii="Times New Roman"/>
                <w:b w:val="false"/>
                <w:i w:val="false"/>
                <w:color w:val="000000"/>
                <w:sz w:val="20"/>
              </w:rPr>
              <w:t>3) при ежемесячном мониторинге займов отсутствует информация для расчета, указанная в подпункте 1) или 2) настоящей строки. В случае отсутствия у банка информации, предусмотренной в одном из вышеуказанных подпунктов настоящей строки, займы, выданные физическим лицам, признаются необеспеченными и взвешиваются по степени кредитного риска, согласно настоящей строке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займы, выданные физическим лицам с 1 января 2016 года, в том числе потребительские займы (за исключением ипотечных жилищных займов, займов физическим лицам, указанных в строке 79 настоящей таблицы и беззалоговых потребительских займов, указанных в приложении 5-1 к Нормативам)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от "ВВ+" до "В-" агентства Standard &amp; Poor's (Стандард энд Пурс)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от "ВВ+" до "В-" агентства Standard &amp; Poor's (Стандард энд Пурс) или рейтинг аналогичного уровня одного из других рейтинговых агентств, и международных финансовых организациях,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организациях-резидентах Республики Казахстан, имеющих долговой рейтинг ниже "А-" агентства Standard &amp; Poor's (Стандард энд Пурс) или рейтинг аналогичного уровня одного из других рейтинговых агентств, организациях-резидентах Республики Казахстан, не имеющих соответствующей рейтинговой оценки, и организациях-нерезидентах Республики Казахстан, имеющих долговой рейтинг от "ВВВ+" до "ВВ-"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организаций-резидентов Республики Казахстан, имеющих долговой рейтинг ниже "А-" агентства Standard &amp; Poor's (Стандард энд Пурс) или рейтинг аналогичного уровня одного из других рейтинговых агентств, организаций-резидентов Республики Казахстан, не имеющих соответствующей рейтинговой оценки, и организаций-нерезидентов Республики Казахстан, имеющих долговой рейтинг от "ВВВ+" до "ВВ-"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физических 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стран, имеющих суверенный рейтинг от "ВВ+" до "В-" агентства Standard &amp; Poor's (Стандард энд Пурс)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имеющих суверенный рейтинг от "ВВВ+" до "ВВ-" агентства Standard &amp; Poor's (Стандард энд Пурс)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от "ВВ+" до "В-" агентства Standard &amp; Poor's (Стандард энд Пурс) или рейтинг аналогичного уровня одного из других рейтинговых агентств, и международными финансовыми организациями, не имеющими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организациями-резидентами, имеющими долговой рейтинг ниже "А-" агентства Standard &amp; Poor's (Стандард энд Пурс) или рейтинг аналогичного уровня одного из других рейтинговых агентств, организациями-резидентами Республики Казахстан, не имеющими соответствующей рейтинговой оценки, и организациями-нерезидентами Республики Казахстан, имеющими долговой рейтинг от "ВВВ+" до "ВВ-"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балансе, и имеющие кредитный рейтинг от "ВВВ+" до "ВВВ-"агентства Standard &amp; Poor's (Стандард энд Пурс) или рейтинг аналогичного уровня одного из других рейтинговых агентств, или рейтинговую оценку от "kzBBB+" до "kzBBB-" по национальной шкале агентства Standard &amp; Poor's (Стандард энд Пурс)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открытым корреспондентским счетам к банкам-резидентам Республики Казахстан, имеющим долговой рейтинг ниже "ВВ-" агентства Standard &amp; Poor's (Стандард энд Пурс) или рейтинг аналогичного уровня одного из других рейтинговых агентств, или банку-нерезиденту Республики Казахстан, имеющему долговой рейтинг ниже "ВВ+"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 IV группу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платежам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запасы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суммы вознаграждения и расходов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банка в акции (доли участия в уставном капитале), бессрочные финансовые инструменты, субординированный долг юридических лиц, финансовая отчетность которых консолидируется при составлении финансовой отчетности банка в соответствии с международными стандартами финансовой отчетности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всех инвестиций банка, каждая из которых составляет менее 10 (десяти) процентов от выпущенных акций (долей участия в уставном капитале) юридического лица, финансовая отчетность которого не консолидируется при составлении финансовой отчетности банка, не превышающая 10 (десяти) процентов основного капитала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инвестиций банка в простые акции финансовой организации, в которой банк имеет 10 (десять) и более процентов от выпущенных акций (долей участия в уставном капитале), и часть отложенных налоговых активов, признанных в отношении вычитаемых временных разниц, в совокупности не превышающая 17,65 (семнадцать целых шестьдесят пять сотых) процентов разницы основного капитала банка после применения регуляторных корректировок, указанных в пункте 10 Нормативов, и суммы, подлежащей к вычету из основного капитала, указанной в абзацах третьем, четвертом и пятом пункта 11 Нормативов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акции (доли участия в уставном капитале), не превышающие 15 (пятнадцати) процентов от величины собственного капитала организаций (резидентов и нерезидентов Республики Казахстан): оказывающих услуги по предоставлению возможности оказания финансовых и (или) платежных услуг с использованием искусственного интеллекта, блокчейн и других инновационных технологий, оказывающих услуги по предоставлению возможности совершения сделок по оказанию финансовых услуг между финансовыми организациями или эмитентами и потребителями финансовых услуг с использованием информационной системы посредством сети Интернет, осуществляющих разработку, реализацию, поддержку программного обеспечения, используемого в деятельности финансовых организаций, в том числе для автоматизации их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акции (доли участия в уставном капитале), превышающие 15 (пятнадцать) процентов от величины собственного капитала организаций (резидентов и нерезидентов Республики Казахстан): оказывающих услуги по предоставлению возможности оказания финансовых и (или) платежных услуг с использованием искусственного интеллекта, блокчейн и других инновационных технологий, оказывающих услуги по предоставлению возможности совершения сделок по оказанию финансовых услуг между финансовыми организациями или эмитентами и потребителями финансовых услуг с использованием информационной системы посредством сети Интернет, осуществляющих разработку, реализацию, поддержку программного обеспечения, используемого в деятельности финансовых организаций, в том числе для автоматизации их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правительствам стран, имеющих суверенный рейтинг ниже "В-"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банкам стран, имеющих суверенный рейтинг ниже "В-"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международным финансовым организациям, имеющим долговой рейтинг ниже "В-"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местным органам власти стран, имеющих суверенный рейтинг ниже "ВВ-"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организациям-нерезидентам, имеющим долговой рейтинг ниже "ВВ-" агентства Standard &amp; Poor's (Стандард энд Пурс) или рейтинг аналогичного уровня одного из других рейтинговых агентств, и организациям-нерезидентам, не имеющим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выданные с 1 января 2016 года и предоставленные на срок более 1 (одного) года в иностранной валюте организациям-нерезидентам Республики Казахстан, имеющим долговой рейтинг ниже "ВВ-" агентства Standard &amp; Poor's (Стандард энд Пурс) или рейтинг аналогичного уровня одного из других рейтинговых агентств, и организациям-нерезидентам Республики Казахстан, не имеющим соответствующей рейтинговой оценки,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нерезидентам Республики Казахстан, являющимся юридическими лицами, зарегистрированными на территории нижеуказанных иностранных государств, или их гражданами:</w:t>
            </w:r>
          </w:p>
          <w:p>
            <w:pPr>
              <w:spacing w:after="20"/>
              <w:ind w:left="20"/>
              <w:jc w:val="both"/>
            </w:pPr>
            <w:r>
              <w:rPr>
                <w:rFonts w:ascii="Times New Roman"/>
                <w:b w:val="false"/>
                <w:i w:val="false"/>
                <w:color w:val="000000"/>
                <w:sz w:val="20"/>
              </w:rPr>
              <w:t>1) Княжество Андорра;</w:t>
            </w:r>
          </w:p>
          <w:p>
            <w:pPr>
              <w:spacing w:after="20"/>
              <w:ind w:left="20"/>
              <w:jc w:val="both"/>
            </w:pPr>
            <w:r>
              <w:rPr>
                <w:rFonts w:ascii="Times New Roman"/>
                <w:b w:val="false"/>
                <w:i w:val="false"/>
                <w:color w:val="000000"/>
                <w:sz w:val="20"/>
              </w:rPr>
              <w:t>2) Соединенные Штаты Америки (только в части территорий Американских Виргинских островов, острова Гуам и содружества Пуэрто-Рико);</w:t>
            </w:r>
          </w:p>
          <w:p>
            <w:pPr>
              <w:spacing w:after="20"/>
              <w:ind w:left="20"/>
              <w:jc w:val="both"/>
            </w:pPr>
            <w:r>
              <w:rPr>
                <w:rFonts w:ascii="Times New Roman"/>
                <w:b w:val="false"/>
                <w:i w:val="false"/>
                <w:color w:val="000000"/>
                <w:sz w:val="20"/>
              </w:rPr>
              <w:t>3) Государство Антигуа и Барбуда;</w:t>
            </w:r>
          </w:p>
          <w:p>
            <w:pPr>
              <w:spacing w:after="20"/>
              <w:ind w:left="20"/>
              <w:jc w:val="both"/>
            </w:pPr>
            <w:r>
              <w:rPr>
                <w:rFonts w:ascii="Times New Roman"/>
                <w:b w:val="false"/>
                <w:i w:val="false"/>
                <w:color w:val="000000"/>
                <w:sz w:val="20"/>
              </w:rPr>
              <w:t>4) Содружество Багамских островов;</w:t>
            </w:r>
          </w:p>
          <w:p>
            <w:pPr>
              <w:spacing w:after="20"/>
              <w:ind w:left="20"/>
              <w:jc w:val="both"/>
            </w:pPr>
            <w:r>
              <w:rPr>
                <w:rFonts w:ascii="Times New Roman"/>
                <w:b w:val="false"/>
                <w:i w:val="false"/>
                <w:color w:val="000000"/>
                <w:sz w:val="20"/>
              </w:rPr>
              <w:t>5) Государство Барбадос;</w:t>
            </w:r>
          </w:p>
          <w:p>
            <w:pPr>
              <w:spacing w:after="20"/>
              <w:ind w:left="20"/>
              <w:jc w:val="both"/>
            </w:pPr>
            <w:r>
              <w:rPr>
                <w:rFonts w:ascii="Times New Roman"/>
                <w:b w:val="false"/>
                <w:i w:val="false"/>
                <w:color w:val="000000"/>
                <w:sz w:val="20"/>
              </w:rPr>
              <w:t>6) Государство Бахрейн;</w:t>
            </w:r>
          </w:p>
          <w:p>
            <w:pPr>
              <w:spacing w:after="20"/>
              <w:ind w:left="20"/>
              <w:jc w:val="both"/>
            </w:pPr>
            <w:r>
              <w:rPr>
                <w:rFonts w:ascii="Times New Roman"/>
                <w:b w:val="false"/>
                <w:i w:val="false"/>
                <w:color w:val="000000"/>
                <w:sz w:val="20"/>
              </w:rPr>
              <w:t>7) Государство Белиз;</w:t>
            </w:r>
          </w:p>
          <w:p>
            <w:pPr>
              <w:spacing w:after="20"/>
              <w:ind w:left="20"/>
              <w:jc w:val="both"/>
            </w:pPr>
            <w:r>
              <w:rPr>
                <w:rFonts w:ascii="Times New Roman"/>
                <w:b w:val="false"/>
                <w:i w:val="false"/>
                <w:color w:val="000000"/>
                <w:sz w:val="20"/>
              </w:rPr>
              <w:t>8) Государство Бруней Даруссалам;</w:t>
            </w:r>
          </w:p>
          <w:p>
            <w:pPr>
              <w:spacing w:after="20"/>
              <w:ind w:left="20"/>
              <w:jc w:val="both"/>
            </w:pPr>
            <w:r>
              <w:rPr>
                <w:rFonts w:ascii="Times New Roman"/>
                <w:b w:val="false"/>
                <w:i w:val="false"/>
                <w:color w:val="000000"/>
                <w:sz w:val="20"/>
              </w:rPr>
              <w:t>9) Объединенные Арабские Эмираты (только в части территории города Дубай);</w:t>
            </w:r>
          </w:p>
          <w:p>
            <w:pPr>
              <w:spacing w:after="20"/>
              <w:ind w:left="20"/>
              <w:jc w:val="both"/>
            </w:pPr>
            <w:r>
              <w:rPr>
                <w:rFonts w:ascii="Times New Roman"/>
                <w:b w:val="false"/>
                <w:i w:val="false"/>
                <w:color w:val="000000"/>
                <w:sz w:val="20"/>
              </w:rPr>
              <w:t>10) Республика Вануату;</w:t>
            </w:r>
          </w:p>
          <w:p>
            <w:pPr>
              <w:spacing w:after="20"/>
              <w:ind w:left="20"/>
              <w:jc w:val="both"/>
            </w:pPr>
            <w:r>
              <w:rPr>
                <w:rFonts w:ascii="Times New Roman"/>
                <w:b w:val="false"/>
                <w:i w:val="false"/>
                <w:color w:val="000000"/>
                <w:sz w:val="20"/>
              </w:rPr>
              <w:t>11) Республика Гватемала;</w:t>
            </w:r>
          </w:p>
          <w:p>
            <w:pPr>
              <w:spacing w:after="20"/>
              <w:ind w:left="20"/>
              <w:jc w:val="both"/>
            </w:pPr>
            <w:r>
              <w:rPr>
                <w:rFonts w:ascii="Times New Roman"/>
                <w:b w:val="false"/>
                <w:i w:val="false"/>
                <w:color w:val="000000"/>
                <w:sz w:val="20"/>
              </w:rPr>
              <w:t>12) Государство Гренада;</w:t>
            </w:r>
          </w:p>
          <w:p>
            <w:pPr>
              <w:spacing w:after="20"/>
              <w:ind w:left="20"/>
              <w:jc w:val="both"/>
            </w:pPr>
            <w:r>
              <w:rPr>
                <w:rFonts w:ascii="Times New Roman"/>
                <w:b w:val="false"/>
                <w:i w:val="false"/>
                <w:color w:val="000000"/>
                <w:sz w:val="20"/>
              </w:rPr>
              <w:t>13) Республика Джибути;</w:t>
            </w:r>
          </w:p>
          <w:p>
            <w:pPr>
              <w:spacing w:after="20"/>
              <w:ind w:left="20"/>
              <w:jc w:val="both"/>
            </w:pPr>
            <w:r>
              <w:rPr>
                <w:rFonts w:ascii="Times New Roman"/>
                <w:b w:val="false"/>
                <w:i w:val="false"/>
                <w:color w:val="000000"/>
                <w:sz w:val="20"/>
              </w:rPr>
              <w:t>14) Доминиканская Республика;</w:t>
            </w:r>
          </w:p>
          <w:p>
            <w:pPr>
              <w:spacing w:after="20"/>
              <w:ind w:left="20"/>
              <w:jc w:val="both"/>
            </w:pPr>
            <w:r>
              <w:rPr>
                <w:rFonts w:ascii="Times New Roman"/>
                <w:b w:val="false"/>
                <w:i w:val="false"/>
                <w:color w:val="000000"/>
                <w:sz w:val="20"/>
              </w:rPr>
              <w:t>15) Новая Зеландия (только в части территории островов Кука и Ниуэ);</w:t>
            </w:r>
          </w:p>
          <w:p>
            <w:pPr>
              <w:spacing w:after="20"/>
              <w:ind w:left="20"/>
              <w:jc w:val="both"/>
            </w:pPr>
            <w:r>
              <w:rPr>
                <w:rFonts w:ascii="Times New Roman"/>
                <w:b w:val="false"/>
                <w:i w:val="false"/>
                <w:color w:val="000000"/>
                <w:sz w:val="20"/>
              </w:rPr>
              <w:t>16) Республика Индонезия;</w:t>
            </w:r>
          </w:p>
          <w:p>
            <w:pPr>
              <w:spacing w:after="20"/>
              <w:ind w:left="20"/>
              <w:jc w:val="both"/>
            </w:pPr>
            <w:r>
              <w:rPr>
                <w:rFonts w:ascii="Times New Roman"/>
                <w:b w:val="false"/>
                <w:i w:val="false"/>
                <w:color w:val="000000"/>
                <w:sz w:val="20"/>
              </w:rPr>
              <w:t>17) Испания (только в части территории Канарских островов);</w:t>
            </w:r>
          </w:p>
          <w:p>
            <w:pPr>
              <w:spacing w:after="20"/>
              <w:ind w:left="20"/>
              <w:jc w:val="both"/>
            </w:pPr>
            <w:r>
              <w:rPr>
                <w:rFonts w:ascii="Times New Roman"/>
                <w:b w:val="false"/>
                <w:i w:val="false"/>
                <w:color w:val="000000"/>
                <w:sz w:val="20"/>
              </w:rPr>
              <w:t>18) Республика Кипр;</w:t>
            </w:r>
          </w:p>
          <w:p>
            <w:pPr>
              <w:spacing w:after="20"/>
              <w:ind w:left="20"/>
              <w:jc w:val="both"/>
            </w:pPr>
            <w:r>
              <w:rPr>
                <w:rFonts w:ascii="Times New Roman"/>
                <w:b w:val="false"/>
                <w:i w:val="false"/>
                <w:color w:val="000000"/>
                <w:sz w:val="20"/>
              </w:rPr>
              <w:t>19) Федеральная Исламская Республика Коморские Острова;</w:t>
            </w:r>
          </w:p>
          <w:p>
            <w:pPr>
              <w:spacing w:after="20"/>
              <w:ind w:left="20"/>
              <w:jc w:val="both"/>
            </w:pPr>
            <w:r>
              <w:rPr>
                <w:rFonts w:ascii="Times New Roman"/>
                <w:b w:val="false"/>
                <w:i w:val="false"/>
                <w:color w:val="000000"/>
                <w:sz w:val="20"/>
              </w:rPr>
              <w:t>20) Республика Коста-Рика;</w:t>
            </w:r>
          </w:p>
          <w:p>
            <w:pPr>
              <w:spacing w:after="20"/>
              <w:ind w:left="20"/>
              <w:jc w:val="both"/>
            </w:pPr>
            <w:r>
              <w:rPr>
                <w:rFonts w:ascii="Times New Roman"/>
                <w:b w:val="false"/>
                <w:i w:val="false"/>
                <w:color w:val="000000"/>
                <w:sz w:val="20"/>
              </w:rPr>
              <w:t>21) Китайская Народная Республика (только в части территорий специальных административных районов Аомынь (Макао) и Сянган (Гонконг);</w:t>
            </w:r>
          </w:p>
          <w:p>
            <w:pPr>
              <w:spacing w:after="20"/>
              <w:ind w:left="20"/>
              <w:jc w:val="both"/>
            </w:pPr>
            <w:r>
              <w:rPr>
                <w:rFonts w:ascii="Times New Roman"/>
                <w:b w:val="false"/>
                <w:i w:val="false"/>
                <w:color w:val="000000"/>
                <w:sz w:val="20"/>
              </w:rPr>
              <w:t>22) Республика Либерия;</w:t>
            </w:r>
          </w:p>
          <w:p>
            <w:pPr>
              <w:spacing w:after="20"/>
              <w:ind w:left="20"/>
              <w:jc w:val="both"/>
            </w:pPr>
            <w:r>
              <w:rPr>
                <w:rFonts w:ascii="Times New Roman"/>
                <w:b w:val="false"/>
                <w:i w:val="false"/>
                <w:color w:val="000000"/>
                <w:sz w:val="20"/>
              </w:rPr>
              <w:t>23) Княжество Лихтенштейн;</w:t>
            </w:r>
          </w:p>
          <w:p>
            <w:pPr>
              <w:spacing w:after="20"/>
              <w:ind w:left="20"/>
              <w:jc w:val="both"/>
            </w:pPr>
            <w:r>
              <w:rPr>
                <w:rFonts w:ascii="Times New Roman"/>
                <w:b w:val="false"/>
                <w:i w:val="false"/>
                <w:color w:val="000000"/>
                <w:sz w:val="20"/>
              </w:rPr>
              <w:t>24) Республика Маврикий;</w:t>
            </w:r>
          </w:p>
          <w:p>
            <w:pPr>
              <w:spacing w:after="20"/>
              <w:ind w:left="20"/>
              <w:jc w:val="both"/>
            </w:pPr>
            <w:r>
              <w:rPr>
                <w:rFonts w:ascii="Times New Roman"/>
                <w:b w:val="false"/>
                <w:i w:val="false"/>
                <w:color w:val="000000"/>
                <w:sz w:val="20"/>
              </w:rPr>
              <w:t>25) Малайзия (только в части территории анклава Лабуан);</w:t>
            </w:r>
          </w:p>
          <w:p>
            <w:pPr>
              <w:spacing w:after="20"/>
              <w:ind w:left="20"/>
              <w:jc w:val="both"/>
            </w:pPr>
            <w:r>
              <w:rPr>
                <w:rFonts w:ascii="Times New Roman"/>
                <w:b w:val="false"/>
                <w:i w:val="false"/>
                <w:color w:val="000000"/>
                <w:sz w:val="20"/>
              </w:rPr>
              <w:t>26) Мальдивская Республика;</w:t>
            </w:r>
          </w:p>
          <w:p>
            <w:pPr>
              <w:spacing w:after="20"/>
              <w:ind w:left="20"/>
              <w:jc w:val="both"/>
            </w:pPr>
            <w:r>
              <w:rPr>
                <w:rFonts w:ascii="Times New Roman"/>
                <w:b w:val="false"/>
                <w:i w:val="false"/>
                <w:color w:val="000000"/>
                <w:sz w:val="20"/>
              </w:rPr>
              <w:t>27) Республика Мальта;</w:t>
            </w:r>
          </w:p>
          <w:p>
            <w:pPr>
              <w:spacing w:after="20"/>
              <w:ind w:left="20"/>
              <w:jc w:val="both"/>
            </w:pPr>
            <w:r>
              <w:rPr>
                <w:rFonts w:ascii="Times New Roman"/>
                <w:b w:val="false"/>
                <w:i w:val="false"/>
                <w:color w:val="000000"/>
                <w:sz w:val="20"/>
              </w:rPr>
              <w:t>28) Республика Маршалловы острова;</w:t>
            </w:r>
          </w:p>
          <w:p>
            <w:pPr>
              <w:spacing w:after="20"/>
              <w:ind w:left="20"/>
              <w:jc w:val="both"/>
            </w:pPr>
            <w:r>
              <w:rPr>
                <w:rFonts w:ascii="Times New Roman"/>
                <w:b w:val="false"/>
                <w:i w:val="false"/>
                <w:color w:val="000000"/>
                <w:sz w:val="20"/>
              </w:rPr>
              <w:t>29) Княжество Монако;</w:t>
            </w:r>
          </w:p>
          <w:p>
            <w:pPr>
              <w:spacing w:after="20"/>
              <w:ind w:left="20"/>
              <w:jc w:val="both"/>
            </w:pPr>
            <w:r>
              <w:rPr>
                <w:rFonts w:ascii="Times New Roman"/>
                <w:b w:val="false"/>
                <w:i w:val="false"/>
                <w:color w:val="000000"/>
                <w:sz w:val="20"/>
              </w:rPr>
              <w:t>30) Союз Мьянма;</w:t>
            </w:r>
          </w:p>
          <w:p>
            <w:pPr>
              <w:spacing w:after="20"/>
              <w:ind w:left="20"/>
              <w:jc w:val="both"/>
            </w:pPr>
            <w:r>
              <w:rPr>
                <w:rFonts w:ascii="Times New Roman"/>
                <w:b w:val="false"/>
                <w:i w:val="false"/>
                <w:color w:val="000000"/>
                <w:sz w:val="20"/>
              </w:rPr>
              <w:t>31) Республика Науру;</w:t>
            </w:r>
          </w:p>
          <w:p>
            <w:pPr>
              <w:spacing w:after="20"/>
              <w:ind w:left="20"/>
              <w:jc w:val="both"/>
            </w:pPr>
            <w:r>
              <w:rPr>
                <w:rFonts w:ascii="Times New Roman"/>
                <w:b w:val="false"/>
                <w:i w:val="false"/>
                <w:color w:val="000000"/>
                <w:sz w:val="20"/>
              </w:rPr>
              <w:t>32) Нидерланды (только в части территории острова Аруба и зависимых территорий Антильских островов);</w:t>
            </w:r>
          </w:p>
          <w:p>
            <w:pPr>
              <w:spacing w:after="20"/>
              <w:ind w:left="20"/>
              <w:jc w:val="both"/>
            </w:pPr>
            <w:r>
              <w:rPr>
                <w:rFonts w:ascii="Times New Roman"/>
                <w:b w:val="false"/>
                <w:i w:val="false"/>
                <w:color w:val="000000"/>
                <w:sz w:val="20"/>
              </w:rPr>
              <w:t>33) Федеративная Республика Нигерия;</w:t>
            </w:r>
          </w:p>
          <w:p>
            <w:pPr>
              <w:spacing w:after="20"/>
              <w:ind w:left="20"/>
              <w:jc w:val="both"/>
            </w:pPr>
            <w:r>
              <w:rPr>
                <w:rFonts w:ascii="Times New Roman"/>
                <w:b w:val="false"/>
                <w:i w:val="false"/>
                <w:color w:val="000000"/>
                <w:sz w:val="20"/>
              </w:rPr>
              <w:t>34) Португалия (только в части территории островов Мадейра);</w:t>
            </w:r>
          </w:p>
          <w:p>
            <w:pPr>
              <w:spacing w:after="20"/>
              <w:ind w:left="20"/>
              <w:jc w:val="both"/>
            </w:pPr>
            <w:r>
              <w:rPr>
                <w:rFonts w:ascii="Times New Roman"/>
                <w:b w:val="false"/>
                <w:i w:val="false"/>
                <w:color w:val="000000"/>
                <w:sz w:val="20"/>
              </w:rPr>
              <w:t>35) Республика Палау;</w:t>
            </w:r>
          </w:p>
          <w:p>
            <w:pPr>
              <w:spacing w:after="20"/>
              <w:ind w:left="20"/>
              <w:jc w:val="both"/>
            </w:pPr>
            <w:r>
              <w:rPr>
                <w:rFonts w:ascii="Times New Roman"/>
                <w:b w:val="false"/>
                <w:i w:val="false"/>
                <w:color w:val="000000"/>
                <w:sz w:val="20"/>
              </w:rPr>
              <w:t>36) Республика Панама;</w:t>
            </w:r>
          </w:p>
          <w:p>
            <w:pPr>
              <w:spacing w:after="20"/>
              <w:ind w:left="20"/>
              <w:jc w:val="both"/>
            </w:pPr>
            <w:r>
              <w:rPr>
                <w:rFonts w:ascii="Times New Roman"/>
                <w:b w:val="false"/>
                <w:i w:val="false"/>
                <w:color w:val="000000"/>
                <w:sz w:val="20"/>
              </w:rPr>
              <w:t>37) Независимое Государство Самоа;</w:t>
            </w:r>
          </w:p>
          <w:p>
            <w:pPr>
              <w:spacing w:after="20"/>
              <w:ind w:left="20"/>
              <w:jc w:val="both"/>
            </w:pPr>
            <w:r>
              <w:rPr>
                <w:rFonts w:ascii="Times New Roman"/>
                <w:b w:val="false"/>
                <w:i w:val="false"/>
                <w:color w:val="000000"/>
                <w:sz w:val="20"/>
              </w:rPr>
              <w:t>38) Республика Сейшельские острова;</w:t>
            </w:r>
          </w:p>
          <w:p>
            <w:pPr>
              <w:spacing w:after="20"/>
              <w:ind w:left="20"/>
              <w:jc w:val="both"/>
            </w:pPr>
            <w:r>
              <w:rPr>
                <w:rFonts w:ascii="Times New Roman"/>
                <w:b w:val="false"/>
                <w:i w:val="false"/>
                <w:color w:val="000000"/>
                <w:sz w:val="20"/>
              </w:rPr>
              <w:t>39) Государство Сент-Винсент и Гренадины;</w:t>
            </w:r>
          </w:p>
          <w:p>
            <w:pPr>
              <w:spacing w:after="20"/>
              <w:ind w:left="20"/>
              <w:jc w:val="both"/>
            </w:pPr>
            <w:r>
              <w:rPr>
                <w:rFonts w:ascii="Times New Roman"/>
                <w:b w:val="false"/>
                <w:i w:val="false"/>
                <w:color w:val="000000"/>
                <w:sz w:val="20"/>
              </w:rPr>
              <w:t>40) Федерация Сент-Китс и Невис;</w:t>
            </w:r>
          </w:p>
          <w:p>
            <w:pPr>
              <w:spacing w:after="20"/>
              <w:ind w:left="20"/>
              <w:jc w:val="both"/>
            </w:pPr>
            <w:r>
              <w:rPr>
                <w:rFonts w:ascii="Times New Roman"/>
                <w:b w:val="false"/>
                <w:i w:val="false"/>
                <w:color w:val="000000"/>
                <w:sz w:val="20"/>
              </w:rPr>
              <w:t>41) Государство Сент-Люсия;</w:t>
            </w:r>
          </w:p>
          <w:p>
            <w:pPr>
              <w:spacing w:after="20"/>
              <w:ind w:left="20"/>
              <w:jc w:val="both"/>
            </w:pPr>
            <w:r>
              <w:rPr>
                <w:rFonts w:ascii="Times New Roman"/>
                <w:b w:val="false"/>
                <w:i w:val="false"/>
                <w:color w:val="000000"/>
                <w:sz w:val="20"/>
              </w:rPr>
              <w:t>42) Королевство Тонга;</w:t>
            </w:r>
          </w:p>
          <w:p>
            <w:pPr>
              <w:spacing w:after="20"/>
              <w:ind w:left="20"/>
              <w:jc w:val="both"/>
            </w:pPr>
            <w:r>
              <w:rPr>
                <w:rFonts w:ascii="Times New Roman"/>
                <w:b w:val="false"/>
                <w:i w:val="false"/>
                <w:color w:val="000000"/>
                <w:sz w:val="20"/>
              </w:rPr>
              <w:t>43) Соединенное Королевство Великобритании и Северной Ирландии (только в части следующих территорий):</w:t>
            </w:r>
          </w:p>
          <w:p>
            <w:pPr>
              <w:spacing w:after="20"/>
              <w:ind w:left="20"/>
              <w:jc w:val="both"/>
            </w:pPr>
            <w:r>
              <w:rPr>
                <w:rFonts w:ascii="Times New Roman"/>
                <w:b w:val="false"/>
                <w:i w:val="false"/>
                <w:color w:val="000000"/>
                <w:sz w:val="20"/>
              </w:rPr>
              <w:t>Острова Ангилья;</w:t>
            </w:r>
          </w:p>
          <w:p>
            <w:pPr>
              <w:spacing w:after="20"/>
              <w:ind w:left="20"/>
              <w:jc w:val="both"/>
            </w:pPr>
            <w:r>
              <w:rPr>
                <w:rFonts w:ascii="Times New Roman"/>
                <w:b w:val="false"/>
                <w:i w:val="false"/>
                <w:color w:val="000000"/>
                <w:sz w:val="20"/>
              </w:rPr>
              <w:t>Бермудские острова;</w:t>
            </w:r>
          </w:p>
          <w:p>
            <w:pPr>
              <w:spacing w:after="20"/>
              <w:ind w:left="20"/>
              <w:jc w:val="both"/>
            </w:pPr>
            <w:r>
              <w:rPr>
                <w:rFonts w:ascii="Times New Roman"/>
                <w:b w:val="false"/>
                <w:i w:val="false"/>
                <w:color w:val="000000"/>
                <w:sz w:val="20"/>
              </w:rPr>
              <w:t>Британские Виргинские острова;</w:t>
            </w:r>
          </w:p>
          <w:p>
            <w:pPr>
              <w:spacing w:after="20"/>
              <w:ind w:left="20"/>
              <w:jc w:val="both"/>
            </w:pPr>
            <w:r>
              <w:rPr>
                <w:rFonts w:ascii="Times New Roman"/>
                <w:b w:val="false"/>
                <w:i w:val="false"/>
                <w:color w:val="000000"/>
                <w:sz w:val="20"/>
              </w:rPr>
              <w:t>Гибралтар;</w:t>
            </w:r>
          </w:p>
          <w:p>
            <w:pPr>
              <w:spacing w:after="20"/>
              <w:ind w:left="20"/>
              <w:jc w:val="both"/>
            </w:pPr>
            <w:r>
              <w:rPr>
                <w:rFonts w:ascii="Times New Roman"/>
                <w:b w:val="false"/>
                <w:i w:val="false"/>
                <w:color w:val="000000"/>
                <w:sz w:val="20"/>
              </w:rPr>
              <w:t>Каймановы острова;</w:t>
            </w:r>
          </w:p>
          <w:p>
            <w:pPr>
              <w:spacing w:after="20"/>
              <w:ind w:left="20"/>
              <w:jc w:val="both"/>
            </w:pPr>
            <w:r>
              <w:rPr>
                <w:rFonts w:ascii="Times New Roman"/>
                <w:b w:val="false"/>
                <w:i w:val="false"/>
                <w:color w:val="000000"/>
                <w:sz w:val="20"/>
              </w:rPr>
              <w:t>Остров Монтсеррат;</w:t>
            </w:r>
          </w:p>
          <w:p>
            <w:pPr>
              <w:spacing w:after="20"/>
              <w:ind w:left="20"/>
              <w:jc w:val="both"/>
            </w:pPr>
            <w:r>
              <w:rPr>
                <w:rFonts w:ascii="Times New Roman"/>
                <w:b w:val="false"/>
                <w:i w:val="false"/>
                <w:color w:val="000000"/>
                <w:sz w:val="20"/>
              </w:rPr>
              <w:t>Острова Теркс и Кайкос;</w:t>
            </w:r>
          </w:p>
          <w:p>
            <w:pPr>
              <w:spacing w:after="20"/>
              <w:ind w:left="20"/>
              <w:jc w:val="both"/>
            </w:pPr>
            <w:r>
              <w:rPr>
                <w:rFonts w:ascii="Times New Roman"/>
                <w:b w:val="false"/>
                <w:i w:val="false"/>
                <w:color w:val="000000"/>
                <w:sz w:val="20"/>
              </w:rPr>
              <w:t>Остров Мэн;</w:t>
            </w:r>
          </w:p>
          <w:p>
            <w:pPr>
              <w:spacing w:after="20"/>
              <w:ind w:left="20"/>
              <w:jc w:val="both"/>
            </w:pPr>
            <w:r>
              <w:rPr>
                <w:rFonts w:ascii="Times New Roman"/>
                <w:b w:val="false"/>
                <w:i w:val="false"/>
                <w:color w:val="000000"/>
                <w:sz w:val="20"/>
              </w:rPr>
              <w:t>Нормандские острова (острова Гернси, Джерси, Сарк, Олдерни);</w:t>
            </w:r>
          </w:p>
          <w:p>
            <w:pPr>
              <w:spacing w:after="20"/>
              <w:ind w:left="20"/>
              <w:jc w:val="both"/>
            </w:pPr>
            <w:r>
              <w:rPr>
                <w:rFonts w:ascii="Times New Roman"/>
                <w:b w:val="false"/>
                <w:i w:val="false"/>
                <w:color w:val="000000"/>
                <w:sz w:val="20"/>
              </w:rPr>
              <w:t>44) Республика Филиппины;</w:t>
            </w:r>
          </w:p>
          <w:p>
            <w:pPr>
              <w:spacing w:after="20"/>
              <w:ind w:left="20"/>
              <w:jc w:val="both"/>
            </w:pPr>
            <w:r>
              <w:rPr>
                <w:rFonts w:ascii="Times New Roman"/>
                <w:b w:val="false"/>
                <w:i w:val="false"/>
                <w:color w:val="000000"/>
                <w:sz w:val="20"/>
              </w:rPr>
              <w:t>45) Демократическая Республика Шри-Ланка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ниже "В-"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ниже "В-"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организациях-нерезидентах, имеющих долговой рейтинг ниже "ВВ-" агентства Standard &amp; Poor's (Стандард энд Пурс) или рейтинг аналогичного уровня одного из других рейтинговых агентств, и организациях-нерезидентах Республики Казахстан,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организациях-нерезидентах Республики Казахстан, зарегистрированных на территории нижеуказанных иностранных государств:</w:t>
            </w:r>
          </w:p>
          <w:p>
            <w:pPr>
              <w:spacing w:after="20"/>
              <w:ind w:left="20"/>
              <w:jc w:val="both"/>
            </w:pPr>
            <w:r>
              <w:rPr>
                <w:rFonts w:ascii="Times New Roman"/>
                <w:b w:val="false"/>
                <w:i w:val="false"/>
                <w:color w:val="000000"/>
                <w:sz w:val="20"/>
              </w:rPr>
              <w:t>1) Княжество Андорра;</w:t>
            </w:r>
          </w:p>
          <w:p>
            <w:pPr>
              <w:spacing w:after="20"/>
              <w:ind w:left="20"/>
              <w:jc w:val="both"/>
            </w:pPr>
            <w:r>
              <w:rPr>
                <w:rFonts w:ascii="Times New Roman"/>
                <w:b w:val="false"/>
                <w:i w:val="false"/>
                <w:color w:val="000000"/>
                <w:sz w:val="20"/>
              </w:rPr>
              <w:t>2) Соединенные Штаты Америки (только в части территорий Американских Виргинских островов, острова Гуам и содружества Пуэрто-Рико);</w:t>
            </w:r>
          </w:p>
          <w:p>
            <w:pPr>
              <w:spacing w:after="20"/>
              <w:ind w:left="20"/>
              <w:jc w:val="both"/>
            </w:pPr>
            <w:r>
              <w:rPr>
                <w:rFonts w:ascii="Times New Roman"/>
                <w:b w:val="false"/>
                <w:i w:val="false"/>
                <w:color w:val="000000"/>
                <w:sz w:val="20"/>
              </w:rPr>
              <w:t>3) Государство Антигуа и Барбуда;</w:t>
            </w:r>
          </w:p>
          <w:p>
            <w:pPr>
              <w:spacing w:after="20"/>
              <w:ind w:left="20"/>
              <w:jc w:val="both"/>
            </w:pPr>
            <w:r>
              <w:rPr>
                <w:rFonts w:ascii="Times New Roman"/>
                <w:b w:val="false"/>
                <w:i w:val="false"/>
                <w:color w:val="000000"/>
                <w:sz w:val="20"/>
              </w:rPr>
              <w:t>4) Содружество Багамских островов;</w:t>
            </w:r>
          </w:p>
          <w:p>
            <w:pPr>
              <w:spacing w:after="20"/>
              <w:ind w:left="20"/>
              <w:jc w:val="both"/>
            </w:pPr>
            <w:r>
              <w:rPr>
                <w:rFonts w:ascii="Times New Roman"/>
                <w:b w:val="false"/>
                <w:i w:val="false"/>
                <w:color w:val="000000"/>
                <w:sz w:val="20"/>
              </w:rPr>
              <w:t>5) Государство Барбадос;</w:t>
            </w:r>
          </w:p>
          <w:p>
            <w:pPr>
              <w:spacing w:after="20"/>
              <w:ind w:left="20"/>
              <w:jc w:val="both"/>
            </w:pPr>
            <w:r>
              <w:rPr>
                <w:rFonts w:ascii="Times New Roman"/>
                <w:b w:val="false"/>
                <w:i w:val="false"/>
                <w:color w:val="000000"/>
                <w:sz w:val="20"/>
              </w:rPr>
              <w:t>6) Государство Бахрейн;</w:t>
            </w:r>
          </w:p>
          <w:p>
            <w:pPr>
              <w:spacing w:after="20"/>
              <w:ind w:left="20"/>
              <w:jc w:val="both"/>
            </w:pPr>
            <w:r>
              <w:rPr>
                <w:rFonts w:ascii="Times New Roman"/>
                <w:b w:val="false"/>
                <w:i w:val="false"/>
                <w:color w:val="000000"/>
                <w:sz w:val="20"/>
              </w:rPr>
              <w:t>7) Государство Белиз;</w:t>
            </w:r>
          </w:p>
          <w:p>
            <w:pPr>
              <w:spacing w:after="20"/>
              <w:ind w:left="20"/>
              <w:jc w:val="both"/>
            </w:pPr>
            <w:r>
              <w:rPr>
                <w:rFonts w:ascii="Times New Roman"/>
                <w:b w:val="false"/>
                <w:i w:val="false"/>
                <w:color w:val="000000"/>
                <w:sz w:val="20"/>
              </w:rPr>
              <w:t>8) Государство Бруней Даруссалам;</w:t>
            </w:r>
          </w:p>
          <w:p>
            <w:pPr>
              <w:spacing w:after="20"/>
              <w:ind w:left="20"/>
              <w:jc w:val="both"/>
            </w:pPr>
            <w:r>
              <w:rPr>
                <w:rFonts w:ascii="Times New Roman"/>
                <w:b w:val="false"/>
                <w:i w:val="false"/>
                <w:color w:val="000000"/>
                <w:sz w:val="20"/>
              </w:rPr>
              <w:t>9) Объединенные Арабские Эмираты</w:t>
            </w:r>
          </w:p>
          <w:p>
            <w:pPr>
              <w:spacing w:after="20"/>
              <w:ind w:left="20"/>
              <w:jc w:val="both"/>
            </w:pPr>
            <w:r>
              <w:rPr>
                <w:rFonts w:ascii="Times New Roman"/>
                <w:b w:val="false"/>
                <w:i w:val="false"/>
                <w:color w:val="000000"/>
                <w:sz w:val="20"/>
              </w:rPr>
              <w:t>(только в части территории города Дубай);</w:t>
            </w:r>
          </w:p>
          <w:p>
            <w:pPr>
              <w:spacing w:after="20"/>
              <w:ind w:left="20"/>
              <w:jc w:val="both"/>
            </w:pPr>
            <w:r>
              <w:rPr>
                <w:rFonts w:ascii="Times New Roman"/>
                <w:b w:val="false"/>
                <w:i w:val="false"/>
                <w:color w:val="000000"/>
                <w:sz w:val="20"/>
              </w:rPr>
              <w:t>10) Республика Вануату;</w:t>
            </w:r>
          </w:p>
          <w:p>
            <w:pPr>
              <w:spacing w:after="20"/>
              <w:ind w:left="20"/>
              <w:jc w:val="both"/>
            </w:pPr>
            <w:r>
              <w:rPr>
                <w:rFonts w:ascii="Times New Roman"/>
                <w:b w:val="false"/>
                <w:i w:val="false"/>
                <w:color w:val="000000"/>
                <w:sz w:val="20"/>
              </w:rPr>
              <w:t>11) Республика Гватемала;</w:t>
            </w:r>
          </w:p>
          <w:p>
            <w:pPr>
              <w:spacing w:after="20"/>
              <w:ind w:left="20"/>
              <w:jc w:val="both"/>
            </w:pPr>
            <w:r>
              <w:rPr>
                <w:rFonts w:ascii="Times New Roman"/>
                <w:b w:val="false"/>
                <w:i w:val="false"/>
                <w:color w:val="000000"/>
                <w:sz w:val="20"/>
              </w:rPr>
              <w:t>12) Государство Гренада;</w:t>
            </w:r>
          </w:p>
          <w:p>
            <w:pPr>
              <w:spacing w:after="20"/>
              <w:ind w:left="20"/>
              <w:jc w:val="both"/>
            </w:pPr>
            <w:r>
              <w:rPr>
                <w:rFonts w:ascii="Times New Roman"/>
                <w:b w:val="false"/>
                <w:i w:val="false"/>
                <w:color w:val="000000"/>
                <w:sz w:val="20"/>
              </w:rPr>
              <w:t>13) Республика Джибути;</w:t>
            </w:r>
          </w:p>
          <w:p>
            <w:pPr>
              <w:spacing w:after="20"/>
              <w:ind w:left="20"/>
              <w:jc w:val="both"/>
            </w:pPr>
            <w:r>
              <w:rPr>
                <w:rFonts w:ascii="Times New Roman"/>
                <w:b w:val="false"/>
                <w:i w:val="false"/>
                <w:color w:val="000000"/>
                <w:sz w:val="20"/>
              </w:rPr>
              <w:t>14) Доминиканская Республика;</w:t>
            </w:r>
          </w:p>
          <w:p>
            <w:pPr>
              <w:spacing w:after="20"/>
              <w:ind w:left="20"/>
              <w:jc w:val="both"/>
            </w:pPr>
            <w:r>
              <w:rPr>
                <w:rFonts w:ascii="Times New Roman"/>
                <w:b w:val="false"/>
                <w:i w:val="false"/>
                <w:color w:val="000000"/>
                <w:sz w:val="20"/>
              </w:rPr>
              <w:t>15) Новая Зеландия (только в части территории островов Кука и Ниуэ);</w:t>
            </w:r>
          </w:p>
          <w:p>
            <w:pPr>
              <w:spacing w:after="20"/>
              <w:ind w:left="20"/>
              <w:jc w:val="both"/>
            </w:pPr>
            <w:r>
              <w:rPr>
                <w:rFonts w:ascii="Times New Roman"/>
                <w:b w:val="false"/>
                <w:i w:val="false"/>
                <w:color w:val="000000"/>
                <w:sz w:val="20"/>
              </w:rPr>
              <w:t>16) Республика Индонезия;</w:t>
            </w:r>
          </w:p>
          <w:p>
            <w:pPr>
              <w:spacing w:after="20"/>
              <w:ind w:left="20"/>
              <w:jc w:val="both"/>
            </w:pPr>
            <w:r>
              <w:rPr>
                <w:rFonts w:ascii="Times New Roman"/>
                <w:b w:val="false"/>
                <w:i w:val="false"/>
                <w:color w:val="000000"/>
                <w:sz w:val="20"/>
              </w:rPr>
              <w:t>17) Испания (только в части территории Канарских островов);</w:t>
            </w:r>
          </w:p>
          <w:p>
            <w:pPr>
              <w:spacing w:after="20"/>
              <w:ind w:left="20"/>
              <w:jc w:val="both"/>
            </w:pPr>
            <w:r>
              <w:rPr>
                <w:rFonts w:ascii="Times New Roman"/>
                <w:b w:val="false"/>
                <w:i w:val="false"/>
                <w:color w:val="000000"/>
                <w:sz w:val="20"/>
              </w:rPr>
              <w:t>18) Республика Кипр;</w:t>
            </w:r>
          </w:p>
          <w:p>
            <w:pPr>
              <w:spacing w:after="20"/>
              <w:ind w:left="20"/>
              <w:jc w:val="both"/>
            </w:pPr>
            <w:r>
              <w:rPr>
                <w:rFonts w:ascii="Times New Roman"/>
                <w:b w:val="false"/>
                <w:i w:val="false"/>
                <w:color w:val="000000"/>
                <w:sz w:val="20"/>
              </w:rPr>
              <w:t>19) Федеральная Исламская Республика Коморские Острова;</w:t>
            </w:r>
          </w:p>
          <w:p>
            <w:pPr>
              <w:spacing w:after="20"/>
              <w:ind w:left="20"/>
              <w:jc w:val="both"/>
            </w:pPr>
            <w:r>
              <w:rPr>
                <w:rFonts w:ascii="Times New Roman"/>
                <w:b w:val="false"/>
                <w:i w:val="false"/>
                <w:color w:val="000000"/>
                <w:sz w:val="20"/>
              </w:rPr>
              <w:t>20) Республика Коста-Рика;</w:t>
            </w:r>
          </w:p>
          <w:p>
            <w:pPr>
              <w:spacing w:after="20"/>
              <w:ind w:left="20"/>
              <w:jc w:val="both"/>
            </w:pPr>
            <w:r>
              <w:rPr>
                <w:rFonts w:ascii="Times New Roman"/>
                <w:b w:val="false"/>
                <w:i w:val="false"/>
                <w:color w:val="000000"/>
                <w:sz w:val="20"/>
              </w:rPr>
              <w:t>21) Китайская Народная Республика</w:t>
            </w:r>
          </w:p>
          <w:p>
            <w:pPr>
              <w:spacing w:after="20"/>
              <w:ind w:left="20"/>
              <w:jc w:val="both"/>
            </w:pPr>
            <w:r>
              <w:rPr>
                <w:rFonts w:ascii="Times New Roman"/>
                <w:b w:val="false"/>
                <w:i w:val="false"/>
                <w:color w:val="000000"/>
                <w:sz w:val="20"/>
              </w:rPr>
              <w:t>(только в части территорий специальных административных районов</w:t>
            </w:r>
          </w:p>
          <w:p>
            <w:pPr>
              <w:spacing w:after="20"/>
              <w:ind w:left="20"/>
              <w:jc w:val="both"/>
            </w:pPr>
            <w:r>
              <w:rPr>
                <w:rFonts w:ascii="Times New Roman"/>
                <w:b w:val="false"/>
                <w:i w:val="false"/>
                <w:color w:val="000000"/>
                <w:sz w:val="20"/>
              </w:rPr>
              <w:t>Аомынь (Макао) и Сянган (Гонконг);</w:t>
            </w:r>
          </w:p>
          <w:p>
            <w:pPr>
              <w:spacing w:after="20"/>
              <w:ind w:left="20"/>
              <w:jc w:val="both"/>
            </w:pPr>
            <w:r>
              <w:rPr>
                <w:rFonts w:ascii="Times New Roman"/>
                <w:b w:val="false"/>
                <w:i w:val="false"/>
                <w:color w:val="000000"/>
                <w:sz w:val="20"/>
              </w:rPr>
              <w:t>22) Республика Либерия;</w:t>
            </w:r>
          </w:p>
          <w:p>
            <w:pPr>
              <w:spacing w:after="20"/>
              <w:ind w:left="20"/>
              <w:jc w:val="both"/>
            </w:pPr>
            <w:r>
              <w:rPr>
                <w:rFonts w:ascii="Times New Roman"/>
                <w:b w:val="false"/>
                <w:i w:val="false"/>
                <w:color w:val="000000"/>
                <w:sz w:val="20"/>
              </w:rPr>
              <w:t>23) Княжество Лихтенштейн;</w:t>
            </w:r>
          </w:p>
          <w:p>
            <w:pPr>
              <w:spacing w:after="20"/>
              <w:ind w:left="20"/>
              <w:jc w:val="both"/>
            </w:pPr>
            <w:r>
              <w:rPr>
                <w:rFonts w:ascii="Times New Roman"/>
                <w:b w:val="false"/>
                <w:i w:val="false"/>
                <w:color w:val="000000"/>
                <w:sz w:val="20"/>
              </w:rPr>
              <w:t>24) Республика Маврикий;</w:t>
            </w:r>
          </w:p>
          <w:p>
            <w:pPr>
              <w:spacing w:after="20"/>
              <w:ind w:left="20"/>
              <w:jc w:val="both"/>
            </w:pPr>
            <w:r>
              <w:rPr>
                <w:rFonts w:ascii="Times New Roman"/>
                <w:b w:val="false"/>
                <w:i w:val="false"/>
                <w:color w:val="000000"/>
                <w:sz w:val="20"/>
              </w:rPr>
              <w:t>25) Малайзия (только в части территории анклава Лабуан);</w:t>
            </w:r>
          </w:p>
          <w:p>
            <w:pPr>
              <w:spacing w:after="20"/>
              <w:ind w:left="20"/>
              <w:jc w:val="both"/>
            </w:pPr>
            <w:r>
              <w:rPr>
                <w:rFonts w:ascii="Times New Roman"/>
                <w:b w:val="false"/>
                <w:i w:val="false"/>
                <w:color w:val="000000"/>
                <w:sz w:val="20"/>
              </w:rPr>
              <w:t>26) Мальдивская Республика;</w:t>
            </w:r>
          </w:p>
          <w:p>
            <w:pPr>
              <w:spacing w:after="20"/>
              <w:ind w:left="20"/>
              <w:jc w:val="both"/>
            </w:pPr>
            <w:r>
              <w:rPr>
                <w:rFonts w:ascii="Times New Roman"/>
                <w:b w:val="false"/>
                <w:i w:val="false"/>
                <w:color w:val="000000"/>
                <w:sz w:val="20"/>
              </w:rPr>
              <w:t>27) Республика Мальта;</w:t>
            </w:r>
          </w:p>
          <w:p>
            <w:pPr>
              <w:spacing w:after="20"/>
              <w:ind w:left="20"/>
              <w:jc w:val="both"/>
            </w:pPr>
            <w:r>
              <w:rPr>
                <w:rFonts w:ascii="Times New Roman"/>
                <w:b w:val="false"/>
                <w:i w:val="false"/>
                <w:color w:val="000000"/>
                <w:sz w:val="20"/>
              </w:rPr>
              <w:t>28) Республика Маршалловы острова;</w:t>
            </w:r>
          </w:p>
          <w:p>
            <w:pPr>
              <w:spacing w:after="20"/>
              <w:ind w:left="20"/>
              <w:jc w:val="both"/>
            </w:pPr>
            <w:r>
              <w:rPr>
                <w:rFonts w:ascii="Times New Roman"/>
                <w:b w:val="false"/>
                <w:i w:val="false"/>
                <w:color w:val="000000"/>
                <w:sz w:val="20"/>
              </w:rPr>
              <w:t>29) Княжество Монако;</w:t>
            </w:r>
          </w:p>
          <w:p>
            <w:pPr>
              <w:spacing w:after="20"/>
              <w:ind w:left="20"/>
              <w:jc w:val="both"/>
            </w:pPr>
            <w:r>
              <w:rPr>
                <w:rFonts w:ascii="Times New Roman"/>
                <w:b w:val="false"/>
                <w:i w:val="false"/>
                <w:color w:val="000000"/>
                <w:sz w:val="20"/>
              </w:rPr>
              <w:t>30) Союз Мьянма;</w:t>
            </w:r>
          </w:p>
          <w:p>
            <w:pPr>
              <w:spacing w:after="20"/>
              <w:ind w:left="20"/>
              <w:jc w:val="both"/>
            </w:pPr>
            <w:r>
              <w:rPr>
                <w:rFonts w:ascii="Times New Roman"/>
                <w:b w:val="false"/>
                <w:i w:val="false"/>
                <w:color w:val="000000"/>
                <w:sz w:val="20"/>
              </w:rPr>
              <w:t>31) Республика Науру;</w:t>
            </w:r>
          </w:p>
          <w:p>
            <w:pPr>
              <w:spacing w:after="20"/>
              <w:ind w:left="20"/>
              <w:jc w:val="both"/>
            </w:pPr>
            <w:r>
              <w:rPr>
                <w:rFonts w:ascii="Times New Roman"/>
                <w:b w:val="false"/>
                <w:i w:val="false"/>
                <w:color w:val="000000"/>
                <w:sz w:val="20"/>
              </w:rPr>
              <w:t>32) Нидерланды (только в части территории острова Аруба</w:t>
            </w:r>
          </w:p>
          <w:p>
            <w:pPr>
              <w:spacing w:after="20"/>
              <w:ind w:left="20"/>
              <w:jc w:val="both"/>
            </w:pPr>
            <w:r>
              <w:rPr>
                <w:rFonts w:ascii="Times New Roman"/>
                <w:b w:val="false"/>
                <w:i w:val="false"/>
                <w:color w:val="000000"/>
                <w:sz w:val="20"/>
              </w:rPr>
              <w:t>и зависимых территорий Антильских островов);</w:t>
            </w:r>
          </w:p>
          <w:p>
            <w:pPr>
              <w:spacing w:after="20"/>
              <w:ind w:left="20"/>
              <w:jc w:val="both"/>
            </w:pPr>
            <w:r>
              <w:rPr>
                <w:rFonts w:ascii="Times New Roman"/>
                <w:b w:val="false"/>
                <w:i w:val="false"/>
                <w:color w:val="000000"/>
                <w:sz w:val="20"/>
              </w:rPr>
              <w:t>33) Федеративная Республика Нигерия;</w:t>
            </w:r>
          </w:p>
          <w:p>
            <w:pPr>
              <w:spacing w:after="20"/>
              <w:ind w:left="20"/>
              <w:jc w:val="both"/>
            </w:pPr>
            <w:r>
              <w:rPr>
                <w:rFonts w:ascii="Times New Roman"/>
                <w:b w:val="false"/>
                <w:i w:val="false"/>
                <w:color w:val="000000"/>
                <w:sz w:val="20"/>
              </w:rPr>
              <w:t>34) Португалия (только в части территории островов Мадейра);</w:t>
            </w:r>
          </w:p>
          <w:p>
            <w:pPr>
              <w:spacing w:after="20"/>
              <w:ind w:left="20"/>
              <w:jc w:val="both"/>
            </w:pPr>
            <w:r>
              <w:rPr>
                <w:rFonts w:ascii="Times New Roman"/>
                <w:b w:val="false"/>
                <w:i w:val="false"/>
                <w:color w:val="000000"/>
                <w:sz w:val="20"/>
              </w:rPr>
              <w:t>35) Республика Палау;</w:t>
            </w:r>
          </w:p>
          <w:p>
            <w:pPr>
              <w:spacing w:after="20"/>
              <w:ind w:left="20"/>
              <w:jc w:val="both"/>
            </w:pPr>
            <w:r>
              <w:rPr>
                <w:rFonts w:ascii="Times New Roman"/>
                <w:b w:val="false"/>
                <w:i w:val="false"/>
                <w:color w:val="000000"/>
                <w:sz w:val="20"/>
              </w:rPr>
              <w:t>36) Республика Панама;</w:t>
            </w:r>
          </w:p>
          <w:p>
            <w:pPr>
              <w:spacing w:after="20"/>
              <w:ind w:left="20"/>
              <w:jc w:val="both"/>
            </w:pPr>
            <w:r>
              <w:rPr>
                <w:rFonts w:ascii="Times New Roman"/>
                <w:b w:val="false"/>
                <w:i w:val="false"/>
                <w:color w:val="000000"/>
                <w:sz w:val="20"/>
              </w:rPr>
              <w:t>37) Независимое Государство Самоа;</w:t>
            </w:r>
          </w:p>
          <w:p>
            <w:pPr>
              <w:spacing w:after="20"/>
              <w:ind w:left="20"/>
              <w:jc w:val="both"/>
            </w:pPr>
            <w:r>
              <w:rPr>
                <w:rFonts w:ascii="Times New Roman"/>
                <w:b w:val="false"/>
                <w:i w:val="false"/>
                <w:color w:val="000000"/>
                <w:sz w:val="20"/>
              </w:rPr>
              <w:t>38) Республика Сейшельские острова;</w:t>
            </w:r>
          </w:p>
          <w:p>
            <w:pPr>
              <w:spacing w:after="20"/>
              <w:ind w:left="20"/>
              <w:jc w:val="both"/>
            </w:pPr>
            <w:r>
              <w:rPr>
                <w:rFonts w:ascii="Times New Roman"/>
                <w:b w:val="false"/>
                <w:i w:val="false"/>
                <w:color w:val="000000"/>
                <w:sz w:val="20"/>
              </w:rPr>
              <w:t>39) Государство Сент-Винсент и Гренадины;</w:t>
            </w:r>
          </w:p>
          <w:p>
            <w:pPr>
              <w:spacing w:after="20"/>
              <w:ind w:left="20"/>
              <w:jc w:val="both"/>
            </w:pPr>
            <w:r>
              <w:rPr>
                <w:rFonts w:ascii="Times New Roman"/>
                <w:b w:val="false"/>
                <w:i w:val="false"/>
                <w:color w:val="000000"/>
                <w:sz w:val="20"/>
              </w:rPr>
              <w:t>40) Федерация Сент-Китс и Невис;</w:t>
            </w:r>
          </w:p>
          <w:p>
            <w:pPr>
              <w:spacing w:after="20"/>
              <w:ind w:left="20"/>
              <w:jc w:val="both"/>
            </w:pPr>
            <w:r>
              <w:rPr>
                <w:rFonts w:ascii="Times New Roman"/>
                <w:b w:val="false"/>
                <w:i w:val="false"/>
                <w:color w:val="000000"/>
                <w:sz w:val="20"/>
              </w:rPr>
              <w:t>41) Государство Сент-Люсия;</w:t>
            </w:r>
          </w:p>
          <w:p>
            <w:pPr>
              <w:spacing w:after="20"/>
              <w:ind w:left="20"/>
              <w:jc w:val="both"/>
            </w:pPr>
            <w:r>
              <w:rPr>
                <w:rFonts w:ascii="Times New Roman"/>
                <w:b w:val="false"/>
                <w:i w:val="false"/>
                <w:color w:val="000000"/>
                <w:sz w:val="20"/>
              </w:rPr>
              <w:t>42) Королевство Тонга;</w:t>
            </w:r>
          </w:p>
          <w:p>
            <w:pPr>
              <w:spacing w:after="20"/>
              <w:ind w:left="20"/>
              <w:jc w:val="both"/>
            </w:pPr>
            <w:r>
              <w:rPr>
                <w:rFonts w:ascii="Times New Roman"/>
                <w:b w:val="false"/>
                <w:i w:val="false"/>
                <w:color w:val="000000"/>
                <w:sz w:val="20"/>
              </w:rPr>
              <w:t>43) Соединенное Королевство Великобритании и Северной Ирландии</w:t>
            </w:r>
          </w:p>
          <w:p>
            <w:pPr>
              <w:spacing w:after="20"/>
              <w:ind w:left="20"/>
              <w:jc w:val="both"/>
            </w:pPr>
            <w:r>
              <w:rPr>
                <w:rFonts w:ascii="Times New Roman"/>
                <w:b w:val="false"/>
                <w:i w:val="false"/>
                <w:color w:val="000000"/>
                <w:sz w:val="20"/>
              </w:rPr>
              <w:t>(только в части следующих территорий):</w:t>
            </w:r>
          </w:p>
          <w:p>
            <w:pPr>
              <w:spacing w:after="20"/>
              <w:ind w:left="20"/>
              <w:jc w:val="both"/>
            </w:pPr>
            <w:r>
              <w:rPr>
                <w:rFonts w:ascii="Times New Roman"/>
                <w:b w:val="false"/>
                <w:i w:val="false"/>
                <w:color w:val="000000"/>
                <w:sz w:val="20"/>
              </w:rPr>
              <w:t>Острова Ангилья;</w:t>
            </w:r>
          </w:p>
          <w:p>
            <w:pPr>
              <w:spacing w:after="20"/>
              <w:ind w:left="20"/>
              <w:jc w:val="both"/>
            </w:pPr>
            <w:r>
              <w:rPr>
                <w:rFonts w:ascii="Times New Roman"/>
                <w:b w:val="false"/>
                <w:i w:val="false"/>
                <w:color w:val="000000"/>
                <w:sz w:val="20"/>
              </w:rPr>
              <w:t>Бермудские острова;</w:t>
            </w:r>
          </w:p>
          <w:p>
            <w:pPr>
              <w:spacing w:after="20"/>
              <w:ind w:left="20"/>
              <w:jc w:val="both"/>
            </w:pPr>
            <w:r>
              <w:rPr>
                <w:rFonts w:ascii="Times New Roman"/>
                <w:b w:val="false"/>
                <w:i w:val="false"/>
                <w:color w:val="000000"/>
                <w:sz w:val="20"/>
              </w:rPr>
              <w:t>Британские Виргинские острова;</w:t>
            </w:r>
          </w:p>
          <w:p>
            <w:pPr>
              <w:spacing w:after="20"/>
              <w:ind w:left="20"/>
              <w:jc w:val="both"/>
            </w:pPr>
            <w:r>
              <w:rPr>
                <w:rFonts w:ascii="Times New Roman"/>
                <w:b w:val="false"/>
                <w:i w:val="false"/>
                <w:color w:val="000000"/>
                <w:sz w:val="20"/>
              </w:rPr>
              <w:t>Гибралтар;</w:t>
            </w:r>
          </w:p>
          <w:p>
            <w:pPr>
              <w:spacing w:after="20"/>
              <w:ind w:left="20"/>
              <w:jc w:val="both"/>
            </w:pPr>
            <w:r>
              <w:rPr>
                <w:rFonts w:ascii="Times New Roman"/>
                <w:b w:val="false"/>
                <w:i w:val="false"/>
                <w:color w:val="000000"/>
                <w:sz w:val="20"/>
              </w:rPr>
              <w:t>Каймановы острова;</w:t>
            </w:r>
          </w:p>
          <w:p>
            <w:pPr>
              <w:spacing w:after="20"/>
              <w:ind w:left="20"/>
              <w:jc w:val="both"/>
            </w:pPr>
            <w:r>
              <w:rPr>
                <w:rFonts w:ascii="Times New Roman"/>
                <w:b w:val="false"/>
                <w:i w:val="false"/>
                <w:color w:val="000000"/>
                <w:sz w:val="20"/>
              </w:rPr>
              <w:t>Остров Монтсеррат;</w:t>
            </w:r>
          </w:p>
          <w:p>
            <w:pPr>
              <w:spacing w:after="20"/>
              <w:ind w:left="20"/>
              <w:jc w:val="both"/>
            </w:pPr>
            <w:r>
              <w:rPr>
                <w:rFonts w:ascii="Times New Roman"/>
                <w:b w:val="false"/>
                <w:i w:val="false"/>
                <w:color w:val="000000"/>
                <w:sz w:val="20"/>
              </w:rPr>
              <w:t>Острова Теркс и Кайкос;</w:t>
            </w:r>
          </w:p>
          <w:p>
            <w:pPr>
              <w:spacing w:after="20"/>
              <w:ind w:left="20"/>
              <w:jc w:val="both"/>
            </w:pPr>
            <w:r>
              <w:rPr>
                <w:rFonts w:ascii="Times New Roman"/>
                <w:b w:val="false"/>
                <w:i w:val="false"/>
                <w:color w:val="000000"/>
                <w:sz w:val="20"/>
              </w:rPr>
              <w:t>Остров Мэн;</w:t>
            </w:r>
          </w:p>
          <w:p>
            <w:pPr>
              <w:spacing w:after="20"/>
              <w:ind w:left="20"/>
              <w:jc w:val="both"/>
            </w:pPr>
            <w:r>
              <w:rPr>
                <w:rFonts w:ascii="Times New Roman"/>
                <w:b w:val="false"/>
                <w:i w:val="false"/>
                <w:color w:val="000000"/>
                <w:sz w:val="20"/>
              </w:rPr>
              <w:t>Нормандские острова (острова Гернси, Джерси, Сарк, Олдерни);</w:t>
            </w:r>
          </w:p>
          <w:p>
            <w:pPr>
              <w:spacing w:after="20"/>
              <w:ind w:left="20"/>
              <w:jc w:val="both"/>
            </w:pPr>
            <w:r>
              <w:rPr>
                <w:rFonts w:ascii="Times New Roman"/>
                <w:b w:val="false"/>
                <w:i w:val="false"/>
                <w:color w:val="000000"/>
                <w:sz w:val="20"/>
              </w:rPr>
              <w:t>44) Республика Филиппины;</w:t>
            </w:r>
          </w:p>
          <w:p>
            <w:pPr>
              <w:spacing w:after="20"/>
              <w:ind w:left="20"/>
              <w:jc w:val="both"/>
            </w:pPr>
            <w:r>
              <w:rPr>
                <w:rFonts w:ascii="Times New Roman"/>
                <w:b w:val="false"/>
                <w:i w:val="false"/>
                <w:color w:val="000000"/>
                <w:sz w:val="20"/>
              </w:rPr>
              <w:t>45) Демократическая Республика Шри-Ланка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организаций-нерезидентов Республики Казахстан, имеющих долговой рейтинг ниже "ВВ-" агентства Standard &amp; Poor's (Стандард энд Пурс) или рейтинг аналогичного уровня одного из других рейтинговых агентств, и организаций-нерезидентов,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организаций-нерезидентов Республики Казахстан, зарегистрированных на территории нижеуказанных иностранных государств:</w:t>
            </w:r>
          </w:p>
          <w:p>
            <w:pPr>
              <w:spacing w:after="20"/>
              <w:ind w:left="20"/>
              <w:jc w:val="both"/>
            </w:pPr>
            <w:r>
              <w:rPr>
                <w:rFonts w:ascii="Times New Roman"/>
                <w:b w:val="false"/>
                <w:i w:val="false"/>
                <w:color w:val="000000"/>
                <w:sz w:val="20"/>
              </w:rPr>
              <w:t>1) Княжество Андорра;</w:t>
            </w:r>
          </w:p>
          <w:p>
            <w:pPr>
              <w:spacing w:after="20"/>
              <w:ind w:left="20"/>
              <w:jc w:val="both"/>
            </w:pPr>
            <w:r>
              <w:rPr>
                <w:rFonts w:ascii="Times New Roman"/>
                <w:b w:val="false"/>
                <w:i w:val="false"/>
                <w:color w:val="000000"/>
                <w:sz w:val="20"/>
              </w:rPr>
              <w:t>2) Соединенные Штаты Америки</w:t>
            </w:r>
          </w:p>
          <w:p>
            <w:pPr>
              <w:spacing w:after="20"/>
              <w:ind w:left="20"/>
              <w:jc w:val="both"/>
            </w:pPr>
            <w:r>
              <w:rPr>
                <w:rFonts w:ascii="Times New Roman"/>
                <w:b w:val="false"/>
                <w:i w:val="false"/>
                <w:color w:val="000000"/>
                <w:sz w:val="20"/>
              </w:rPr>
              <w:t>(только в части территорий Американских Виргинских островов,</w:t>
            </w:r>
          </w:p>
          <w:p>
            <w:pPr>
              <w:spacing w:after="20"/>
              <w:ind w:left="20"/>
              <w:jc w:val="both"/>
            </w:pPr>
            <w:r>
              <w:rPr>
                <w:rFonts w:ascii="Times New Roman"/>
                <w:b w:val="false"/>
                <w:i w:val="false"/>
                <w:color w:val="000000"/>
                <w:sz w:val="20"/>
              </w:rPr>
              <w:t>острова Гуам и содружества Пуэрто-Рико);</w:t>
            </w:r>
          </w:p>
          <w:p>
            <w:pPr>
              <w:spacing w:after="20"/>
              <w:ind w:left="20"/>
              <w:jc w:val="both"/>
            </w:pPr>
            <w:r>
              <w:rPr>
                <w:rFonts w:ascii="Times New Roman"/>
                <w:b w:val="false"/>
                <w:i w:val="false"/>
                <w:color w:val="000000"/>
                <w:sz w:val="20"/>
              </w:rPr>
              <w:t>3) Государство Антигуа и Барбуда;</w:t>
            </w:r>
          </w:p>
          <w:p>
            <w:pPr>
              <w:spacing w:after="20"/>
              <w:ind w:left="20"/>
              <w:jc w:val="both"/>
            </w:pPr>
            <w:r>
              <w:rPr>
                <w:rFonts w:ascii="Times New Roman"/>
                <w:b w:val="false"/>
                <w:i w:val="false"/>
                <w:color w:val="000000"/>
                <w:sz w:val="20"/>
              </w:rPr>
              <w:t>4) Содружество Багамских островов;</w:t>
            </w:r>
          </w:p>
          <w:p>
            <w:pPr>
              <w:spacing w:after="20"/>
              <w:ind w:left="20"/>
              <w:jc w:val="both"/>
            </w:pPr>
            <w:r>
              <w:rPr>
                <w:rFonts w:ascii="Times New Roman"/>
                <w:b w:val="false"/>
                <w:i w:val="false"/>
                <w:color w:val="000000"/>
                <w:sz w:val="20"/>
              </w:rPr>
              <w:t>5) Государство Барбадос;</w:t>
            </w:r>
          </w:p>
          <w:p>
            <w:pPr>
              <w:spacing w:after="20"/>
              <w:ind w:left="20"/>
              <w:jc w:val="both"/>
            </w:pPr>
            <w:r>
              <w:rPr>
                <w:rFonts w:ascii="Times New Roman"/>
                <w:b w:val="false"/>
                <w:i w:val="false"/>
                <w:color w:val="000000"/>
                <w:sz w:val="20"/>
              </w:rPr>
              <w:t>6) Государство Бахрейн;</w:t>
            </w:r>
          </w:p>
          <w:p>
            <w:pPr>
              <w:spacing w:after="20"/>
              <w:ind w:left="20"/>
              <w:jc w:val="both"/>
            </w:pPr>
            <w:r>
              <w:rPr>
                <w:rFonts w:ascii="Times New Roman"/>
                <w:b w:val="false"/>
                <w:i w:val="false"/>
                <w:color w:val="000000"/>
                <w:sz w:val="20"/>
              </w:rPr>
              <w:t>7) Государство Белиз;</w:t>
            </w:r>
          </w:p>
          <w:p>
            <w:pPr>
              <w:spacing w:after="20"/>
              <w:ind w:left="20"/>
              <w:jc w:val="both"/>
            </w:pPr>
            <w:r>
              <w:rPr>
                <w:rFonts w:ascii="Times New Roman"/>
                <w:b w:val="false"/>
                <w:i w:val="false"/>
                <w:color w:val="000000"/>
                <w:sz w:val="20"/>
              </w:rPr>
              <w:t>8) Государство Бруней Даруссалам;</w:t>
            </w:r>
          </w:p>
          <w:p>
            <w:pPr>
              <w:spacing w:after="20"/>
              <w:ind w:left="20"/>
              <w:jc w:val="both"/>
            </w:pPr>
            <w:r>
              <w:rPr>
                <w:rFonts w:ascii="Times New Roman"/>
                <w:b w:val="false"/>
                <w:i w:val="false"/>
                <w:color w:val="000000"/>
                <w:sz w:val="20"/>
              </w:rPr>
              <w:t>9) Объединенные Арабские Эмираты</w:t>
            </w:r>
          </w:p>
          <w:p>
            <w:pPr>
              <w:spacing w:after="20"/>
              <w:ind w:left="20"/>
              <w:jc w:val="both"/>
            </w:pPr>
            <w:r>
              <w:rPr>
                <w:rFonts w:ascii="Times New Roman"/>
                <w:b w:val="false"/>
                <w:i w:val="false"/>
                <w:color w:val="000000"/>
                <w:sz w:val="20"/>
              </w:rPr>
              <w:t>(только в части территории города Дубай);</w:t>
            </w:r>
          </w:p>
          <w:p>
            <w:pPr>
              <w:spacing w:after="20"/>
              <w:ind w:left="20"/>
              <w:jc w:val="both"/>
            </w:pPr>
            <w:r>
              <w:rPr>
                <w:rFonts w:ascii="Times New Roman"/>
                <w:b w:val="false"/>
                <w:i w:val="false"/>
                <w:color w:val="000000"/>
                <w:sz w:val="20"/>
              </w:rPr>
              <w:t>10) Республика Вануату;</w:t>
            </w:r>
          </w:p>
          <w:p>
            <w:pPr>
              <w:spacing w:after="20"/>
              <w:ind w:left="20"/>
              <w:jc w:val="both"/>
            </w:pPr>
            <w:r>
              <w:rPr>
                <w:rFonts w:ascii="Times New Roman"/>
                <w:b w:val="false"/>
                <w:i w:val="false"/>
                <w:color w:val="000000"/>
                <w:sz w:val="20"/>
              </w:rPr>
              <w:t>11) Республика Гватемала;</w:t>
            </w:r>
          </w:p>
          <w:p>
            <w:pPr>
              <w:spacing w:after="20"/>
              <w:ind w:left="20"/>
              <w:jc w:val="both"/>
            </w:pPr>
            <w:r>
              <w:rPr>
                <w:rFonts w:ascii="Times New Roman"/>
                <w:b w:val="false"/>
                <w:i w:val="false"/>
                <w:color w:val="000000"/>
                <w:sz w:val="20"/>
              </w:rPr>
              <w:t>12) Государство Гренада;</w:t>
            </w:r>
          </w:p>
          <w:p>
            <w:pPr>
              <w:spacing w:after="20"/>
              <w:ind w:left="20"/>
              <w:jc w:val="both"/>
            </w:pPr>
            <w:r>
              <w:rPr>
                <w:rFonts w:ascii="Times New Roman"/>
                <w:b w:val="false"/>
                <w:i w:val="false"/>
                <w:color w:val="000000"/>
                <w:sz w:val="20"/>
              </w:rPr>
              <w:t>13) Республика Джибути;</w:t>
            </w:r>
          </w:p>
          <w:p>
            <w:pPr>
              <w:spacing w:after="20"/>
              <w:ind w:left="20"/>
              <w:jc w:val="both"/>
            </w:pPr>
            <w:r>
              <w:rPr>
                <w:rFonts w:ascii="Times New Roman"/>
                <w:b w:val="false"/>
                <w:i w:val="false"/>
                <w:color w:val="000000"/>
                <w:sz w:val="20"/>
              </w:rPr>
              <w:t>14) Доминиканская Республика;</w:t>
            </w:r>
          </w:p>
          <w:p>
            <w:pPr>
              <w:spacing w:after="20"/>
              <w:ind w:left="20"/>
              <w:jc w:val="both"/>
            </w:pPr>
            <w:r>
              <w:rPr>
                <w:rFonts w:ascii="Times New Roman"/>
                <w:b w:val="false"/>
                <w:i w:val="false"/>
                <w:color w:val="000000"/>
                <w:sz w:val="20"/>
              </w:rPr>
              <w:t>15) Новая Зеландия (только в части территории островов Кука и Ниуэ);</w:t>
            </w:r>
          </w:p>
          <w:p>
            <w:pPr>
              <w:spacing w:after="20"/>
              <w:ind w:left="20"/>
              <w:jc w:val="both"/>
            </w:pPr>
            <w:r>
              <w:rPr>
                <w:rFonts w:ascii="Times New Roman"/>
                <w:b w:val="false"/>
                <w:i w:val="false"/>
                <w:color w:val="000000"/>
                <w:sz w:val="20"/>
              </w:rPr>
              <w:t>16) Республика Индонезия;</w:t>
            </w:r>
          </w:p>
          <w:p>
            <w:pPr>
              <w:spacing w:after="20"/>
              <w:ind w:left="20"/>
              <w:jc w:val="both"/>
            </w:pPr>
            <w:r>
              <w:rPr>
                <w:rFonts w:ascii="Times New Roman"/>
                <w:b w:val="false"/>
                <w:i w:val="false"/>
                <w:color w:val="000000"/>
                <w:sz w:val="20"/>
              </w:rPr>
              <w:t>17) Испания (только в части территории Канарских островов);</w:t>
            </w:r>
          </w:p>
          <w:p>
            <w:pPr>
              <w:spacing w:after="20"/>
              <w:ind w:left="20"/>
              <w:jc w:val="both"/>
            </w:pPr>
            <w:r>
              <w:rPr>
                <w:rFonts w:ascii="Times New Roman"/>
                <w:b w:val="false"/>
                <w:i w:val="false"/>
                <w:color w:val="000000"/>
                <w:sz w:val="20"/>
              </w:rPr>
              <w:t>18) Республика Кипр;</w:t>
            </w:r>
          </w:p>
          <w:p>
            <w:pPr>
              <w:spacing w:after="20"/>
              <w:ind w:left="20"/>
              <w:jc w:val="both"/>
            </w:pPr>
            <w:r>
              <w:rPr>
                <w:rFonts w:ascii="Times New Roman"/>
                <w:b w:val="false"/>
                <w:i w:val="false"/>
                <w:color w:val="000000"/>
                <w:sz w:val="20"/>
              </w:rPr>
              <w:t>19) Федеральная Исламская Республика Коморские Острова;</w:t>
            </w:r>
          </w:p>
          <w:p>
            <w:pPr>
              <w:spacing w:after="20"/>
              <w:ind w:left="20"/>
              <w:jc w:val="both"/>
            </w:pPr>
            <w:r>
              <w:rPr>
                <w:rFonts w:ascii="Times New Roman"/>
                <w:b w:val="false"/>
                <w:i w:val="false"/>
                <w:color w:val="000000"/>
                <w:sz w:val="20"/>
              </w:rPr>
              <w:t>20) Республика Коста-Рика;</w:t>
            </w:r>
          </w:p>
          <w:p>
            <w:pPr>
              <w:spacing w:after="20"/>
              <w:ind w:left="20"/>
              <w:jc w:val="both"/>
            </w:pPr>
            <w:r>
              <w:rPr>
                <w:rFonts w:ascii="Times New Roman"/>
                <w:b w:val="false"/>
                <w:i w:val="false"/>
                <w:color w:val="000000"/>
                <w:sz w:val="20"/>
              </w:rPr>
              <w:t>21) Китайская Народная Республика (только в части территорий</w:t>
            </w:r>
          </w:p>
          <w:p>
            <w:pPr>
              <w:spacing w:after="20"/>
              <w:ind w:left="20"/>
              <w:jc w:val="both"/>
            </w:pPr>
            <w:r>
              <w:rPr>
                <w:rFonts w:ascii="Times New Roman"/>
                <w:b w:val="false"/>
                <w:i w:val="false"/>
                <w:color w:val="000000"/>
                <w:sz w:val="20"/>
              </w:rPr>
              <w:t>специальных административных районов Аомынь (Макао)</w:t>
            </w:r>
          </w:p>
          <w:p>
            <w:pPr>
              <w:spacing w:after="20"/>
              <w:ind w:left="20"/>
              <w:jc w:val="both"/>
            </w:pPr>
            <w:r>
              <w:rPr>
                <w:rFonts w:ascii="Times New Roman"/>
                <w:b w:val="false"/>
                <w:i w:val="false"/>
                <w:color w:val="000000"/>
                <w:sz w:val="20"/>
              </w:rPr>
              <w:t>и Сянган (Гонконг);</w:t>
            </w:r>
          </w:p>
          <w:p>
            <w:pPr>
              <w:spacing w:after="20"/>
              <w:ind w:left="20"/>
              <w:jc w:val="both"/>
            </w:pPr>
            <w:r>
              <w:rPr>
                <w:rFonts w:ascii="Times New Roman"/>
                <w:b w:val="false"/>
                <w:i w:val="false"/>
                <w:color w:val="000000"/>
                <w:sz w:val="20"/>
              </w:rPr>
              <w:t>22) Республика Либерия;</w:t>
            </w:r>
          </w:p>
          <w:p>
            <w:pPr>
              <w:spacing w:after="20"/>
              <w:ind w:left="20"/>
              <w:jc w:val="both"/>
            </w:pPr>
            <w:r>
              <w:rPr>
                <w:rFonts w:ascii="Times New Roman"/>
                <w:b w:val="false"/>
                <w:i w:val="false"/>
                <w:color w:val="000000"/>
                <w:sz w:val="20"/>
              </w:rPr>
              <w:t>23) Княжество Лихтенштейн;</w:t>
            </w:r>
          </w:p>
          <w:p>
            <w:pPr>
              <w:spacing w:after="20"/>
              <w:ind w:left="20"/>
              <w:jc w:val="both"/>
            </w:pPr>
            <w:r>
              <w:rPr>
                <w:rFonts w:ascii="Times New Roman"/>
                <w:b w:val="false"/>
                <w:i w:val="false"/>
                <w:color w:val="000000"/>
                <w:sz w:val="20"/>
              </w:rPr>
              <w:t>24) Республика Маврикий;</w:t>
            </w:r>
          </w:p>
          <w:p>
            <w:pPr>
              <w:spacing w:after="20"/>
              <w:ind w:left="20"/>
              <w:jc w:val="both"/>
            </w:pPr>
            <w:r>
              <w:rPr>
                <w:rFonts w:ascii="Times New Roman"/>
                <w:b w:val="false"/>
                <w:i w:val="false"/>
                <w:color w:val="000000"/>
                <w:sz w:val="20"/>
              </w:rPr>
              <w:t>25) Малайзия (только в части территории анклава Лабуан);</w:t>
            </w:r>
          </w:p>
          <w:p>
            <w:pPr>
              <w:spacing w:after="20"/>
              <w:ind w:left="20"/>
              <w:jc w:val="both"/>
            </w:pPr>
            <w:r>
              <w:rPr>
                <w:rFonts w:ascii="Times New Roman"/>
                <w:b w:val="false"/>
                <w:i w:val="false"/>
                <w:color w:val="000000"/>
                <w:sz w:val="20"/>
              </w:rPr>
              <w:t>26) Мальдивская Республика;</w:t>
            </w:r>
          </w:p>
          <w:p>
            <w:pPr>
              <w:spacing w:after="20"/>
              <w:ind w:left="20"/>
              <w:jc w:val="both"/>
            </w:pPr>
            <w:r>
              <w:rPr>
                <w:rFonts w:ascii="Times New Roman"/>
                <w:b w:val="false"/>
                <w:i w:val="false"/>
                <w:color w:val="000000"/>
                <w:sz w:val="20"/>
              </w:rPr>
              <w:t>27) Республика Мальта;</w:t>
            </w:r>
          </w:p>
          <w:p>
            <w:pPr>
              <w:spacing w:after="20"/>
              <w:ind w:left="20"/>
              <w:jc w:val="both"/>
            </w:pPr>
            <w:r>
              <w:rPr>
                <w:rFonts w:ascii="Times New Roman"/>
                <w:b w:val="false"/>
                <w:i w:val="false"/>
                <w:color w:val="000000"/>
                <w:sz w:val="20"/>
              </w:rPr>
              <w:t>28) Республика Маршалловы острова;</w:t>
            </w:r>
          </w:p>
          <w:p>
            <w:pPr>
              <w:spacing w:after="20"/>
              <w:ind w:left="20"/>
              <w:jc w:val="both"/>
            </w:pPr>
            <w:r>
              <w:rPr>
                <w:rFonts w:ascii="Times New Roman"/>
                <w:b w:val="false"/>
                <w:i w:val="false"/>
                <w:color w:val="000000"/>
                <w:sz w:val="20"/>
              </w:rPr>
              <w:t>29) Княжество Монако;</w:t>
            </w:r>
          </w:p>
          <w:p>
            <w:pPr>
              <w:spacing w:after="20"/>
              <w:ind w:left="20"/>
              <w:jc w:val="both"/>
            </w:pPr>
            <w:r>
              <w:rPr>
                <w:rFonts w:ascii="Times New Roman"/>
                <w:b w:val="false"/>
                <w:i w:val="false"/>
                <w:color w:val="000000"/>
                <w:sz w:val="20"/>
              </w:rPr>
              <w:t>30) Союз Мьянма;</w:t>
            </w:r>
          </w:p>
          <w:p>
            <w:pPr>
              <w:spacing w:after="20"/>
              <w:ind w:left="20"/>
              <w:jc w:val="both"/>
            </w:pPr>
            <w:r>
              <w:rPr>
                <w:rFonts w:ascii="Times New Roman"/>
                <w:b w:val="false"/>
                <w:i w:val="false"/>
                <w:color w:val="000000"/>
                <w:sz w:val="20"/>
              </w:rPr>
              <w:t>31) Республика Науру;</w:t>
            </w:r>
          </w:p>
          <w:p>
            <w:pPr>
              <w:spacing w:after="20"/>
              <w:ind w:left="20"/>
              <w:jc w:val="both"/>
            </w:pPr>
            <w:r>
              <w:rPr>
                <w:rFonts w:ascii="Times New Roman"/>
                <w:b w:val="false"/>
                <w:i w:val="false"/>
                <w:color w:val="000000"/>
                <w:sz w:val="20"/>
              </w:rPr>
              <w:t>32) Нидерланды (только в части территории острова Аруба</w:t>
            </w:r>
          </w:p>
          <w:p>
            <w:pPr>
              <w:spacing w:after="20"/>
              <w:ind w:left="20"/>
              <w:jc w:val="both"/>
            </w:pPr>
            <w:r>
              <w:rPr>
                <w:rFonts w:ascii="Times New Roman"/>
                <w:b w:val="false"/>
                <w:i w:val="false"/>
                <w:color w:val="000000"/>
                <w:sz w:val="20"/>
              </w:rPr>
              <w:t>и зависимых территорий Антильских островов);</w:t>
            </w:r>
          </w:p>
          <w:p>
            <w:pPr>
              <w:spacing w:after="20"/>
              <w:ind w:left="20"/>
              <w:jc w:val="both"/>
            </w:pPr>
            <w:r>
              <w:rPr>
                <w:rFonts w:ascii="Times New Roman"/>
                <w:b w:val="false"/>
                <w:i w:val="false"/>
                <w:color w:val="000000"/>
                <w:sz w:val="20"/>
              </w:rPr>
              <w:t>33) Федеративная Республика Нигерия;</w:t>
            </w:r>
          </w:p>
          <w:p>
            <w:pPr>
              <w:spacing w:after="20"/>
              <w:ind w:left="20"/>
              <w:jc w:val="both"/>
            </w:pPr>
            <w:r>
              <w:rPr>
                <w:rFonts w:ascii="Times New Roman"/>
                <w:b w:val="false"/>
                <w:i w:val="false"/>
                <w:color w:val="000000"/>
                <w:sz w:val="20"/>
              </w:rPr>
              <w:t>34) Португалия (только в части территории островов Мадейра);</w:t>
            </w:r>
          </w:p>
          <w:p>
            <w:pPr>
              <w:spacing w:after="20"/>
              <w:ind w:left="20"/>
              <w:jc w:val="both"/>
            </w:pPr>
            <w:r>
              <w:rPr>
                <w:rFonts w:ascii="Times New Roman"/>
                <w:b w:val="false"/>
                <w:i w:val="false"/>
                <w:color w:val="000000"/>
                <w:sz w:val="20"/>
              </w:rPr>
              <w:t>35) Республика Палау;</w:t>
            </w:r>
          </w:p>
          <w:p>
            <w:pPr>
              <w:spacing w:after="20"/>
              <w:ind w:left="20"/>
              <w:jc w:val="both"/>
            </w:pPr>
            <w:r>
              <w:rPr>
                <w:rFonts w:ascii="Times New Roman"/>
                <w:b w:val="false"/>
                <w:i w:val="false"/>
                <w:color w:val="000000"/>
                <w:sz w:val="20"/>
              </w:rPr>
              <w:t>36) Республика Панама;</w:t>
            </w:r>
          </w:p>
          <w:p>
            <w:pPr>
              <w:spacing w:after="20"/>
              <w:ind w:left="20"/>
              <w:jc w:val="both"/>
            </w:pPr>
            <w:r>
              <w:rPr>
                <w:rFonts w:ascii="Times New Roman"/>
                <w:b w:val="false"/>
                <w:i w:val="false"/>
                <w:color w:val="000000"/>
                <w:sz w:val="20"/>
              </w:rPr>
              <w:t>37) Независимое Государство Самоа;</w:t>
            </w:r>
          </w:p>
          <w:p>
            <w:pPr>
              <w:spacing w:after="20"/>
              <w:ind w:left="20"/>
              <w:jc w:val="both"/>
            </w:pPr>
            <w:r>
              <w:rPr>
                <w:rFonts w:ascii="Times New Roman"/>
                <w:b w:val="false"/>
                <w:i w:val="false"/>
                <w:color w:val="000000"/>
                <w:sz w:val="20"/>
              </w:rPr>
              <w:t>38) Республика Сейшельские острова;</w:t>
            </w:r>
          </w:p>
          <w:p>
            <w:pPr>
              <w:spacing w:after="20"/>
              <w:ind w:left="20"/>
              <w:jc w:val="both"/>
            </w:pPr>
            <w:r>
              <w:rPr>
                <w:rFonts w:ascii="Times New Roman"/>
                <w:b w:val="false"/>
                <w:i w:val="false"/>
                <w:color w:val="000000"/>
                <w:sz w:val="20"/>
              </w:rPr>
              <w:t>39) Государство Сент-Винсент и Гренадины;</w:t>
            </w:r>
          </w:p>
          <w:p>
            <w:pPr>
              <w:spacing w:after="20"/>
              <w:ind w:left="20"/>
              <w:jc w:val="both"/>
            </w:pPr>
            <w:r>
              <w:rPr>
                <w:rFonts w:ascii="Times New Roman"/>
                <w:b w:val="false"/>
                <w:i w:val="false"/>
                <w:color w:val="000000"/>
                <w:sz w:val="20"/>
              </w:rPr>
              <w:t>40) Федерация Сент-Китс и Невис;</w:t>
            </w:r>
          </w:p>
          <w:p>
            <w:pPr>
              <w:spacing w:after="20"/>
              <w:ind w:left="20"/>
              <w:jc w:val="both"/>
            </w:pPr>
            <w:r>
              <w:rPr>
                <w:rFonts w:ascii="Times New Roman"/>
                <w:b w:val="false"/>
                <w:i w:val="false"/>
                <w:color w:val="000000"/>
                <w:sz w:val="20"/>
              </w:rPr>
              <w:t>41) Государство Сент-Люсия;</w:t>
            </w:r>
          </w:p>
          <w:p>
            <w:pPr>
              <w:spacing w:after="20"/>
              <w:ind w:left="20"/>
              <w:jc w:val="both"/>
            </w:pPr>
            <w:r>
              <w:rPr>
                <w:rFonts w:ascii="Times New Roman"/>
                <w:b w:val="false"/>
                <w:i w:val="false"/>
                <w:color w:val="000000"/>
                <w:sz w:val="20"/>
              </w:rPr>
              <w:t>42) Королевство Тонга;</w:t>
            </w:r>
          </w:p>
          <w:p>
            <w:pPr>
              <w:spacing w:after="20"/>
              <w:ind w:left="20"/>
              <w:jc w:val="both"/>
            </w:pPr>
            <w:r>
              <w:rPr>
                <w:rFonts w:ascii="Times New Roman"/>
                <w:b w:val="false"/>
                <w:i w:val="false"/>
                <w:color w:val="000000"/>
                <w:sz w:val="20"/>
              </w:rPr>
              <w:t>43) Соединенное Королевство Великобритании и Северной Ирландии</w:t>
            </w:r>
          </w:p>
          <w:p>
            <w:pPr>
              <w:spacing w:after="20"/>
              <w:ind w:left="20"/>
              <w:jc w:val="both"/>
            </w:pPr>
            <w:r>
              <w:rPr>
                <w:rFonts w:ascii="Times New Roman"/>
                <w:b w:val="false"/>
                <w:i w:val="false"/>
                <w:color w:val="000000"/>
                <w:sz w:val="20"/>
              </w:rPr>
              <w:t>(только в части следующих территорий):</w:t>
            </w:r>
          </w:p>
          <w:p>
            <w:pPr>
              <w:spacing w:after="20"/>
              <w:ind w:left="20"/>
              <w:jc w:val="both"/>
            </w:pPr>
            <w:r>
              <w:rPr>
                <w:rFonts w:ascii="Times New Roman"/>
                <w:b w:val="false"/>
                <w:i w:val="false"/>
                <w:color w:val="000000"/>
                <w:sz w:val="20"/>
              </w:rPr>
              <w:t>Острова Ангилья;</w:t>
            </w:r>
          </w:p>
          <w:p>
            <w:pPr>
              <w:spacing w:after="20"/>
              <w:ind w:left="20"/>
              <w:jc w:val="both"/>
            </w:pPr>
            <w:r>
              <w:rPr>
                <w:rFonts w:ascii="Times New Roman"/>
                <w:b w:val="false"/>
                <w:i w:val="false"/>
                <w:color w:val="000000"/>
                <w:sz w:val="20"/>
              </w:rPr>
              <w:t>Бермудские острова;</w:t>
            </w:r>
          </w:p>
          <w:p>
            <w:pPr>
              <w:spacing w:after="20"/>
              <w:ind w:left="20"/>
              <w:jc w:val="both"/>
            </w:pPr>
            <w:r>
              <w:rPr>
                <w:rFonts w:ascii="Times New Roman"/>
                <w:b w:val="false"/>
                <w:i w:val="false"/>
                <w:color w:val="000000"/>
                <w:sz w:val="20"/>
              </w:rPr>
              <w:t>Британские Виргинские острова;</w:t>
            </w:r>
          </w:p>
          <w:p>
            <w:pPr>
              <w:spacing w:after="20"/>
              <w:ind w:left="20"/>
              <w:jc w:val="both"/>
            </w:pPr>
            <w:r>
              <w:rPr>
                <w:rFonts w:ascii="Times New Roman"/>
                <w:b w:val="false"/>
                <w:i w:val="false"/>
                <w:color w:val="000000"/>
                <w:sz w:val="20"/>
              </w:rPr>
              <w:t>Гибралтар;</w:t>
            </w:r>
          </w:p>
          <w:p>
            <w:pPr>
              <w:spacing w:after="20"/>
              <w:ind w:left="20"/>
              <w:jc w:val="both"/>
            </w:pPr>
            <w:r>
              <w:rPr>
                <w:rFonts w:ascii="Times New Roman"/>
                <w:b w:val="false"/>
                <w:i w:val="false"/>
                <w:color w:val="000000"/>
                <w:sz w:val="20"/>
              </w:rPr>
              <w:t>Каймановы острова;</w:t>
            </w:r>
          </w:p>
          <w:p>
            <w:pPr>
              <w:spacing w:after="20"/>
              <w:ind w:left="20"/>
              <w:jc w:val="both"/>
            </w:pPr>
            <w:r>
              <w:rPr>
                <w:rFonts w:ascii="Times New Roman"/>
                <w:b w:val="false"/>
                <w:i w:val="false"/>
                <w:color w:val="000000"/>
                <w:sz w:val="20"/>
              </w:rPr>
              <w:t>Остров Монтсеррат;</w:t>
            </w:r>
          </w:p>
          <w:p>
            <w:pPr>
              <w:spacing w:after="20"/>
              <w:ind w:left="20"/>
              <w:jc w:val="both"/>
            </w:pPr>
            <w:r>
              <w:rPr>
                <w:rFonts w:ascii="Times New Roman"/>
                <w:b w:val="false"/>
                <w:i w:val="false"/>
                <w:color w:val="000000"/>
                <w:sz w:val="20"/>
              </w:rPr>
              <w:t>Острова Теркс и Кайкос;</w:t>
            </w:r>
          </w:p>
          <w:p>
            <w:pPr>
              <w:spacing w:after="20"/>
              <w:ind w:left="20"/>
              <w:jc w:val="both"/>
            </w:pPr>
            <w:r>
              <w:rPr>
                <w:rFonts w:ascii="Times New Roman"/>
                <w:b w:val="false"/>
                <w:i w:val="false"/>
                <w:color w:val="000000"/>
                <w:sz w:val="20"/>
              </w:rPr>
              <w:t>Остров Мэн;</w:t>
            </w:r>
          </w:p>
          <w:p>
            <w:pPr>
              <w:spacing w:after="20"/>
              <w:ind w:left="20"/>
              <w:jc w:val="both"/>
            </w:pPr>
            <w:r>
              <w:rPr>
                <w:rFonts w:ascii="Times New Roman"/>
                <w:b w:val="false"/>
                <w:i w:val="false"/>
                <w:color w:val="000000"/>
                <w:sz w:val="20"/>
              </w:rPr>
              <w:t>Нормандские острова (острова Гернси, Джерси, Сарк, Олдерни);</w:t>
            </w:r>
          </w:p>
          <w:p>
            <w:pPr>
              <w:spacing w:after="20"/>
              <w:ind w:left="20"/>
              <w:jc w:val="both"/>
            </w:pPr>
            <w:r>
              <w:rPr>
                <w:rFonts w:ascii="Times New Roman"/>
                <w:b w:val="false"/>
                <w:i w:val="false"/>
                <w:color w:val="000000"/>
                <w:sz w:val="20"/>
              </w:rPr>
              <w:t>44) Республика Филиппины;</w:t>
            </w:r>
          </w:p>
          <w:p>
            <w:pPr>
              <w:spacing w:after="20"/>
              <w:ind w:left="20"/>
              <w:jc w:val="both"/>
            </w:pPr>
            <w:r>
              <w:rPr>
                <w:rFonts w:ascii="Times New Roman"/>
                <w:b w:val="false"/>
                <w:i w:val="false"/>
                <w:color w:val="000000"/>
                <w:sz w:val="20"/>
              </w:rPr>
              <w:t>45) Демократическая Республика Шри-Ланка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центральными правительствами стран, имеющих суверенный рейтинг ниже "В-"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суверенный рейтинг которых ниже "ВВ-"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ниже "В-"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организациями-нерезидентами Республики Казахстан, имеющими долговой рейтинг ниже "ВВ-" агентства Standard &amp; Poor's (Стандард энд Пурс) или рейтинг аналогичного уровня одного из других рейтинговых агентств, и организациями-нерезидентами Республики Казахстан, не имеющими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организациями-нерезидентами Республики Казахстан, зарегистрированными на территории нижеуказанных иностранных государств:</w:t>
            </w:r>
          </w:p>
          <w:p>
            <w:pPr>
              <w:spacing w:after="20"/>
              <w:ind w:left="20"/>
              <w:jc w:val="both"/>
            </w:pPr>
            <w:r>
              <w:rPr>
                <w:rFonts w:ascii="Times New Roman"/>
                <w:b w:val="false"/>
                <w:i w:val="false"/>
                <w:color w:val="000000"/>
                <w:sz w:val="20"/>
              </w:rPr>
              <w:t>1) Княжество Андорра;</w:t>
            </w:r>
          </w:p>
          <w:p>
            <w:pPr>
              <w:spacing w:after="20"/>
              <w:ind w:left="20"/>
              <w:jc w:val="both"/>
            </w:pPr>
            <w:r>
              <w:rPr>
                <w:rFonts w:ascii="Times New Roman"/>
                <w:b w:val="false"/>
                <w:i w:val="false"/>
                <w:color w:val="000000"/>
                <w:sz w:val="20"/>
              </w:rPr>
              <w:t>2) Соединенные Штаты Америки (только в части территорий</w:t>
            </w:r>
          </w:p>
          <w:p>
            <w:pPr>
              <w:spacing w:after="20"/>
              <w:ind w:left="20"/>
              <w:jc w:val="both"/>
            </w:pPr>
            <w:r>
              <w:rPr>
                <w:rFonts w:ascii="Times New Roman"/>
                <w:b w:val="false"/>
                <w:i w:val="false"/>
                <w:color w:val="000000"/>
                <w:sz w:val="20"/>
              </w:rPr>
              <w:t>Американских Виргинских островов, острова Гуам и содружества Пуэрто-Рико);</w:t>
            </w:r>
          </w:p>
          <w:p>
            <w:pPr>
              <w:spacing w:after="20"/>
              <w:ind w:left="20"/>
              <w:jc w:val="both"/>
            </w:pPr>
            <w:r>
              <w:rPr>
                <w:rFonts w:ascii="Times New Roman"/>
                <w:b w:val="false"/>
                <w:i w:val="false"/>
                <w:color w:val="000000"/>
                <w:sz w:val="20"/>
              </w:rPr>
              <w:t>3) Государство Антигуа и Барбуда;</w:t>
            </w:r>
          </w:p>
          <w:p>
            <w:pPr>
              <w:spacing w:after="20"/>
              <w:ind w:left="20"/>
              <w:jc w:val="both"/>
            </w:pPr>
            <w:r>
              <w:rPr>
                <w:rFonts w:ascii="Times New Roman"/>
                <w:b w:val="false"/>
                <w:i w:val="false"/>
                <w:color w:val="000000"/>
                <w:sz w:val="20"/>
              </w:rPr>
              <w:t>4) Содружество Багамских островов;</w:t>
            </w:r>
          </w:p>
          <w:p>
            <w:pPr>
              <w:spacing w:after="20"/>
              <w:ind w:left="20"/>
              <w:jc w:val="both"/>
            </w:pPr>
            <w:r>
              <w:rPr>
                <w:rFonts w:ascii="Times New Roman"/>
                <w:b w:val="false"/>
                <w:i w:val="false"/>
                <w:color w:val="000000"/>
                <w:sz w:val="20"/>
              </w:rPr>
              <w:t>5) Государство Барбадос;</w:t>
            </w:r>
          </w:p>
          <w:p>
            <w:pPr>
              <w:spacing w:after="20"/>
              <w:ind w:left="20"/>
              <w:jc w:val="both"/>
            </w:pPr>
            <w:r>
              <w:rPr>
                <w:rFonts w:ascii="Times New Roman"/>
                <w:b w:val="false"/>
                <w:i w:val="false"/>
                <w:color w:val="000000"/>
                <w:sz w:val="20"/>
              </w:rPr>
              <w:t>6) Государство Бахрейн;</w:t>
            </w:r>
          </w:p>
          <w:p>
            <w:pPr>
              <w:spacing w:after="20"/>
              <w:ind w:left="20"/>
              <w:jc w:val="both"/>
            </w:pPr>
            <w:r>
              <w:rPr>
                <w:rFonts w:ascii="Times New Roman"/>
                <w:b w:val="false"/>
                <w:i w:val="false"/>
                <w:color w:val="000000"/>
                <w:sz w:val="20"/>
              </w:rPr>
              <w:t>7) Государство Белиз;</w:t>
            </w:r>
          </w:p>
          <w:p>
            <w:pPr>
              <w:spacing w:after="20"/>
              <w:ind w:left="20"/>
              <w:jc w:val="both"/>
            </w:pPr>
            <w:r>
              <w:rPr>
                <w:rFonts w:ascii="Times New Roman"/>
                <w:b w:val="false"/>
                <w:i w:val="false"/>
                <w:color w:val="000000"/>
                <w:sz w:val="20"/>
              </w:rPr>
              <w:t>8) Государство Бруней Даруссалам;</w:t>
            </w:r>
          </w:p>
          <w:p>
            <w:pPr>
              <w:spacing w:after="20"/>
              <w:ind w:left="20"/>
              <w:jc w:val="both"/>
            </w:pPr>
            <w:r>
              <w:rPr>
                <w:rFonts w:ascii="Times New Roman"/>
                <w:b w:val="false"/>
                <w:i w:val="false"/>
                <w:color w:val="000000"/>
                <w:sz w:val="20"/>
              </w:rPr>
              <w:t>9) Объединенные Арабские Эмираты</w:t>
            </w:r>
          </w:p>
          <w:p>
            <w:pPr>
              <w:spacing w:after="20"/>
              <w:ind w:left="20"/>
              <w:jc w:val="both"/>
            </w:pPr>
            <w:r>
              <w:rPr>
                <w:rFonts w:ascii="Times New Roman"/>
                <w:b w:val="false"/>
                <w:i w:val="false"/>
                <w:color w:val="000000"/>
                <w:sz w:val="20"/>
              </w:rPr>
              <w:t>(только в части территории города Дубай);</w:t>
            </w:r>
          </w:p>
          <w:p>
            <w:pPr>
              <w:spacing w:after="20"/>
              <w:ind w:left="20"/>
              <w:jc w:val="both"/>
            </w:pPr>
            <w:r>
              <w:rPr>
                <w:rFonts w:ascii="Times New Roman"/>
                <w:b w:val="false"/>
                <w:i w:val="false"/>
                <w:color w:val="000000"/>
                <w:sz w:val="20"/>
              </w:rPr>
              <w:t>10) Республика Вануату;</w:t>
            </w:r>
          </w:p>
          <w:p>
            <w:pPr>
              <w:spacing w:after="20"/>
              <w:ind w:left="20"/>
              <w:jc w:val="both"/>
            </w:pPr>
            <w:r>
              <w:rPr>
                <w:rFonts w:ascii="Times New Roman"/>
                <w:b w:val="false"/>
                <w:i w:val="false"/>
                <w:color w:val="000000"/>
                <w:sz w:val="20"/>
              </w:rPr>
              <w:t>11) Республика Гватемала;</w:t>
            </w:r>
          </w:p>
          <w:p>
            <w:pPr>
              <w:spacing w:after="20"/>
              <w:ind w:left="20"/>
              <w:jc w:val="both"/>
            </w:pPr>
            <w:r>
              <w:rPr>
                <w:rFonts w:ascii="Times New Roman"/>
                <w:b w:val="false"/>
                <w:i w:val="false"/>
                <w:color w:val="000000"/>
                <w:sz w:val="20"/>
              </w:rPr>
              <w:t>12) Государство Гренада;</w:t>
            </w:r>
          </w:p>
          <w:p>
            <w:pPr>
              <w:spacing w:after="20"/>
              <w:ind w:left="20"/>
              <w:jc w:val="both"/>
            </w:pPr>
            <w:r>
              <w:rPr>
                <w:rFonts w:ascii="Times New Roman"/>
                <w:b w:val="false"/>
                <w:i w:val="false"/>
                <w:color w:val="000000"/>
                <w:sz w:val="20"/>
              </w:rPr>
              <w:t>13) Республика Джибути;</w:t>
            </w:r>
          </w:p>
          <w:p>
            <w:pPr>
              <w:spacing w:after="20"/>
              <w:ind w:left="20"/>
              <w:jc w:val="both"/>
            </w:pPr>
            <w:r>
              <w:rPr>
                <w:rFonts w:ascii="Times New Roman"/>
                <w:b w:val="false"/>
                <w:i w:val="false"/>
                <w:color w:val="000000"/>
                <w:sz w:val="20"/>
              </w:rPr>
              <w:t>14) Доминиканская Республика;</w:t>
            </w:r>
          </w:p>
          <w:p>
            <w:pPr>
              <w:spacing w:after="20"/>
              <w:ind w:left="20"/>
              <w:jc w:val="both"/>
            </w:pPr>
            <w:r>
              <w:rPr>
                <w:rFonts w:ascii="Times New Roman"/>
                <w:b w:val="false"/>
                <w:i w:val="false"/>
                <w:color w:val="000000"/>
                <w:sz w:val="20"/>
              </w:rPr>
              <w:t>15) Новая Зеландия (только в части территории островов Кука и Ниуэ);</w:t>
            </w:r>
          </w:p>
          <w:p>
            <w:pPr>
              <w:spacing w:after="20"/>
              <w:ind w:left="20"/>
              <w:jc w:val="both"/>
            </w:pPr>
            <w:r>
              <w:rPr>
                <w:rFonts w:ascii="Times New Roman"/>
                <w:b w:val="false"/>
                <w:i w:val="false"/>
                <w:color w:val="000000"/>
                <w:sz w:val="20"/>
              </w:rPr>
              <w:t>16) Республика Индонезия;</w:t>
            </w:r>
          </w:p>
          <w:p>
            <w:pPr>
              <w:spacing w:after="20"/>
              <w:ind w:left="20"/>
              <w:jc w:val="both"/>
            </w:pPr>
            <w:r>
              <w:rPr>
                <w:rFonts w:ascii="Times New Roman"/>
                <w:b w:val="false"/>
                <w:i w:val="false"/>
                <w:color w:val="000000"/>
                <w:sz w:val="20"/>
              </w:rPr>
              <w:t>17) Испания (только в части территории Канарских островов);</w:t>
            </w:r>
          </w:p>
          <w:p>
            <w:pPr>
              <w:spacing w:after="20"/>
              <w:ind w:left="20"/>
              <w:jc w:val="both"/>
            </w:pPr>
            <w:r>
              <w:rPr>
                <w:rFonts w:ascii="Times New Roman"/>
                <w:b w:val="false"/>
                <w:i w:val="false"/>
                <w:color w:val="000000"/>
                <w:sz w:val="20"/>
              </w:rPr>
              <w:t>18) Республика Кипр;</w:t>
            </w:r>
          </w:p>
          <w:p>
            <w:pPr>
              <w:spacing w:after="20"/>
              <w:ind w:left="20"/>
              <w:jc w:val="both"/>
            </w:pPr>
            <w:r>
              <w:rPr>
                <w:rFonts w:ascii="Times New Roman"/>
                <w:b w:val="false"/>
                <w:i w:val="false"/>
                <w:color w:val="000000"/>
                <w:sz w:val="20"/>
              </w:rPr>
              <w:t>19) Федеральная Исламская Республика Коморские Острова;</w:t>
            </w:r>
          </w:p>
          <w:p>
            <w:pPr>
              <w:spacing w:after="20"/>
              <w:ind w:left="20"/>
              <w:jc w:val="both"/>
            </w:pPr>
            <w:r>
              <w:rPr>
                <w:rFonts w:ascii="Times New Roman"/>
                <w:b w:val="false"/>
                <w:i w:val="false"/>
                <w:color w:val="000000"/>
                <w:sz w:val="20"/>
              </w:rPr>
              <w:t>20) Республика Коста-Рика;</w:t>
            </w:r>
          </w:p>
          <w:p>
            <w:pPr>
              <w:spacing w:after="20"/>
              <w:ind w:left="20"/>
              <w:jc w:val="both"/>
            </w:pPr>
            <w:r>
              <w:rPr>
                <w:rFonts w:ascii="Times New Roman"/>
                <w:b w:val="false"/>
                <w:i w:val="false"/>
                <w:color w:val="000000"/>
                <w:sz w:val="20"/>
              </w:rPr>
              <w:t>21) Китайская Народная Республика (только в части территорий</w:t>
            </w:r>
          </w:p>
          <w:p>
            <w:pPr>
              <w:spacing w:after="20"/>
              <w:ind w:left="20"/>
              <w:jc w:val="both"/>
            </w:pPr>
            <w:r>
              <w:rPr>
                <w:rFonts w:ascii="Times New Roman"/>
                <w:b w:val="false"/>
                <w:i w:val="false"/>
                <w:color w:val="000000"/>
                <w:sz w:val="20"/>
              </w:rPr>
              <w:t>специальных административных районов Аомынь (Макао) и Сянган (Гонконг);</w:t>
            </w:r>
          </w:p>
          <w:p>
            <w:pPr>
              <w:spacing w:after="20"/>
              <w:ind w:left="20"/>
              <w:jc w:val="both"/>
            </w:pPr>
            <w:r>
              <w:rPr>
                <w:rFonts w:ascii="Times New Roman"/>
                <w:b w:val="false"/>
                <w:i w:val="false"/>
                <w:color w:val="000000"/>
                <w:sz w:val="20"/>
              </w:rPr>
              <w:t>22) Республика Либерия;</w:t>
            </w:r>
          </w:p>
          <w:p>
            <w:pPr>
              <w:spacing w:after="20"/>
              <w:ind w:left="20"/>
              <w:jc w:val="both"/>
            </w:pPr>
            <w:r>
              <w:rPr>
                <w:rFonts w:ascii="Times New Roman"/>
                <w:b w:val="false"/>
                <w:i w:val="false"/>
                <w:color w:val="000000"/>
                <w:sz w:val="20"/>
              </w:rPr>
              <w:t>23) Княжество Лихтенштейн;</w:t>
            </w:r>
          </w:p>
          <w:p>
            <w:pPr>
              <w:spacing w:after="20"/>
              <w:ind w:left="20"/>
              <w:jc w:val="both"/>
            </w:pPr>
            <w:r>
              <w:rPr>
                <w:rFonts w:ascii="Times New Roman"/>
                <w:b w:val="false"/>
                <w:i w:val="false"/>
                <w:color w:val="000000"/>
                <w:sz w:val="20"/>
              </w:rPr>
              <w:t>24) Республика Маврикий;</w:t>
            </w:r>
          </w:p>
          <w:p>
            <w:pPr>
              <w:spacing w:after="20"/>
              <w:ind w:left="20"/>
              <w:jc w:val="both"/>
            </w:pPr>
            <w:r>
              <w:rPr>
                <w:rFonts w:ascii="Times New Roman"/>
                <w:b w:val="false"/>
                <w:i w:val="false"/>
                <w:color w:val="000000"/>
                <w:sz w:val="20"/>
              </w:rPr>
              <w:t>25) Малайзия (только в части территории анклава Лабуан);</w:t>
            </w:r>
          </w:p>
          <w:p>
            <w:pPr>
              <w:spacing w:after="20"/>
              <w:ind w:left="20"/>
              <w:jc w:val="both"/>
            </w:pPr>
            <w:r>
              <w:rPr>
                <w:rFonts w:ascii="Times New Roman"/>
                <w:b w:val="false"/>
                <w:i w:val="false"/>
                <w:color w:val="000000"/>
                <w:sz w:val="20"/>
              </w:rPr>
              <w:t>26) Мальдивская Республика;</w:t>
            </w:r>
          </w:p>
          <w:p>
            <w:pPr>
              <w:spacing w:after="20"/>
              <w:ind w:left="20"/>
              <w:jc w:val="both"/>
            </w:pPr>
            <w:r>
              <w:rPr>
                <w:rFonts w:ascii="Times New Roman"/>
                <w:b w:val="false"/>
                <w:i w:val="false"/>
                <w:color w:val="000000"/>
                <w:sz w:val="20"/>
              </w:rPr>
              <w:t>27) Республика Мальта;</w:t>
            </w:r>
          </w:p>
          <w:p>
            <w:pPr>
              <w:spacing w:after="20"/>
              <w:ind w:left="20"/>
              <w:jc w:val="both"/>
            </w:pPr>
            <w:r>
              <w:rPr>
                <w:rFonts w:ascii="Times New Roman"/>
                <w:b w:val="false"/>
                <w:i w:val="false"/>
                <w:color w:val="000000"/>
                <w:sz w:val="20"/>
              </w:rPr>
              <w:t>28) Республика Маршалловы острова;</w:t>
            </w:r>
          </w:p>
          <w:p>
            <w:pPr>
              <w:spacing w:after="20"/>
              <w:ind w:left="20"/>
              <w:jc w:val="both"/>
            </w:pPr>
            <w:r>
              <w:rPr>
                <w:rFonts w:ascii="Times New Roman"/>
                <w:b w:val="false"/>
                <w:i w:val="false"/>
                <w:color w:val="000000"/>
                <w:sz w:val="20"/>
              </w:rPr>
              <w:t>29) Княжество Монако;</w:t>
            </w:r>
          </w:p>
          <w:p>
            <w:pPr>
              <w:spacing w:after="20"/>
              <w:ind w:left="20"/>
              <w:jc w:val="both"/>
            </w:pPr>
            <w:r>
              <w:rPr>
                <w:rFonts w:ascii="Times New Roman"/>
                <w:b w:val="false"/>
                <w:i w:val="false"/>
                <w:color w:val="000000"/>
                <w:sz w:val="20"/>
              </w:rPr>
              <w:t>30) Союз Мьянма;</w:t>
            </w:r>
          </w:p>
          <w:p>
            <w:pPr>
              <w:spacing w:after="20"/>
              <w:ind w:left="20"/>
              <w:jc w:val="both"/>
            </w:pPr>
            <w:r>
              <w:rPr>
                <w:rFonts w:ascii="Times New Roman"/>
                <w:b w:val="false"/>
                <w:i w:val="false"/>
                <w:color w:val="000000"/>
                <w:sz w:val="20"/>
              </w:rPr>
              <w:t>31) Республика Науру;</w:t>
            </w:r>
          </w:p>
          <w:p>
            <w:pPr>
              <w:spacing w:after="20"/>
              <w:ind w:left="20"/>
              <w:jc w:val="both"/>
            </w:pPr>
            <w:r>
              <w:rPr>
                <w:rFonts w:ascii="Times New Roman"/>
                <w:b w:val="false"/>
                <w:i w:val="false"/>
                <w:color w:val="000000"/>
                <w:sz w:val="20"/>
              </w:rPr>
              <w:t>32) Нидерланды (только в части территории острова Аруба</w:t>
            </w:r>
          </w:p>
          <w:p>
            <w:pPr>
              <w:spacing w:after="20"/>
              <w:ind w:left="20"/>
              <w:jc w:val="both"/>
            </w:pPr>
            <w:r>
              <w:rPr>
                <w:rFonts w:ascii="Times New Roman"/>
                <w:b w:val="false"/>
                <w:i w:val="false"/>
                <w:color w:val="000000"/>
                <w:sz w:val="20"/>
              </w:rPr>
              <w:t>и зависимых территорий Антильских островов);</w:t>
            </w:r>
          </w:p>
          <w:p>
            <w:pPr>
              <w:spacing w:after="20"/>
              <w:ind w:left="20"/>
              <w:jc w:val="both"/>
            </w:pPr>
            <w:r>
              <w:rPr>
                <w:rFonts w:ascii="Times New Roman"/>
                <w:b w:val="false"/>
                <w:i w:val="false"/>
                <w:color w:val="000000"/>
                <w:sz w:val="20"/>
              </w:rPr>
              <w:t>33) Федеративная Республика Нигерия;</w:t>
            </w:r>
          </w:p>
          <w:p>
            <w:pPr>
              <w:spacing w:after="20"/>
              <w:ind w:left="20"/>
              <w:jc w:val="both"/>
            </w:pPr>
            <w:r>
              <w:rPr>
                <w:rFonts w:ascii="Times New Roman"/>
                <w:b w:val="false"/>
                <w:i w:val="false"/>
                <w:color w:val="000000"/>
                <w:sz w:val="20"/>
              </w:rPr>
              <w:t>34) Португалия (только в части территории островов Мадейра);</w:t>
            </w:r>
          </w:p>
          <w:p>
            <w:pPr>
              <w:spacing w:after="20"/>
              <w:ind w:left="20"/>
              <w:jc w:val="both"/>
            </w:pPr>
            <w:r>
              <w:rPr>
                <w:rFonts w:ascii="Times New Roman"/>
                <w:b w:val="false"/>
                <w:i w:val="false"/>
                <w:color w:val="000000"/>
                <w:sz w:val="20"/>
              </w:rPr>
              <w:t>35) Республика Палау;</w:t>
            </w:r>
          </w:p>
          <w:p>
            <w:pPr>
              <w:spacing w:after="20"/>
              <w:ind w:left="20"/>
              <w:jc w:val="both"/>
            </w:pPr>
            <w:r>
              <w:rPr>
                <w:rFonts w:ascii="Times New Roman"/>
                <w:b w:val="false"/>
                <w:i w:val="false"/>
                <w:color w:val="000000"/>
                <w:sz w:val="20"/>
              </w:rPr>
              <w:t>36) Республика Панама;</w:t>
            </w:r>
          </w:p>
          <w:p>
            <w:pPr>
              <w:spacing w:after="20"/>
              <w:ind w:left="20"/>
              <w:jc w:val="both"/>
            </w:pPr>
            <w:r>
              <w:rPr>
                <w:rFonts w:ascii="Times New Roman"/>
                <w:b w:val="false"/>
                <w:i w:val="false"/>
                <w:color w:val="000000"/>
                <w:sz w:val="20"/>
              </w:rPr>
              <w:t>37) Независимое Государство Самоа;</w:t>
            </w:r>
          </w:p>
          <w:p>
            <w:pPr>
              <w:spacing w:after="20"/>
              <w:ind w:left="20"/>
              <w:jc w:val="both"/>
            </w:pPr>
            <w:r>
              <w:rPr>
                <w:rFonts w:ascii="Times New Roman"/>
                <w:b w:val="false"/>
                <w:i w:val="false"/>
                <w:color w:val="000000"/>
                <w:sz w:val="20"/>
              </w:rPr>
              <w:t>38) Республика Сейшельские острова;</w:t>
            </w:r>
          </w:p>
          <w:p>
            <w:pPr>
              <w:spacing w:after="20"/>
              <w:ind w:left="20"/>
              <w:jc w:val="both"/>
            </w:pPr>
            <w:r>
              <w:rPr>
                <w:rFonts w:ascii="Times New Roman"/>
                <w:b w:val="false"/>
                <w:i w:val="false"/>
                <w:color w:val="000000"/>
                <w:sz w:val="20"/>
              </w:rPr>
              <w:t>39) Государство Сент-Винсент и Гренадины;</w:t>
            </w:r>
          </w:p>
          <w:p>
            <w:pPr>
              <w:spacing w:after="20"/>
              <w:ind w:left="20"/>
              <w:jc w:val="both"/>
            </w:pPr>
            <w:r>
              <w:rPr>
                <w:rFonts w:ascii="Times New Roman"/>
                <w:b w:val="false"/>
                <w:i w:val="false"/>
                <w:color w:val="000000"/>
                <w:sz w:val="20"/>
              </w:rPr>
              <w:t>40) Федерация Сент-Китс и Невис;</w:t>
            </w:r>
          </w:p>
          <w:p>
            <w:pPr>
              <w:spacing w:after="20"/>
              <w:ind w:left="20"/>
              <w:jc w:val="both"/>
            </w:pPr>
            <w:r>
              <w:rPr>
                <w:rFonts w:ascii="Times New Roman"/>
                <w:b w:val="false"/>
                <w:i w:val="false"/>
                <w:color w:val="000000"/>
                <w:sz w:val="20"/>
              </w:rPr>
              <w:t>41) Государство Сент-Люсия;</w:t>
            </w:r>
          </w:p>
          <w:p>
            <w:pPr>
              <w:spacing w:after="20"/>
              <w:ind w:left="20"/>
              <w:jc w:val="both"/>
            </w:pPr>
            <w:r>
              <w:rPr>
                <w:rFonts w:ascii="Times New Roman"/>
                <w:b w:val="false"/>
                <w:i w:val="false"/>
                <w:color w:val="000000"/>
                <w:sz w:val="20"/>
              </w:rPr>
              <w:t>42) Королевство Тонга;</w:t>
            </w:r>
          </w:p>
          <w:p>
            <w:pPr>
              <w:spacing w:after="20"/>
              <w:ind w:left="20"/>
              <w:jc w:val="both"/>
            </w:pPr>
            <w:r>
              <w:rPr>
                <w:rFonts w:ascii="Times New Roman"/>
                <w:b w:val="false"/>
                <w:i w:val="false"/>
                <w:color w:val="000000"/>
                <w:sz w:val="20"/>
              </w:rPr>
              <w:t>43) Соединенное Королевство Великобритании и Северной Ирландии</w:t>
            </w:r>
          </w:p>
          <w:p>
            <w:pPr>
              <w:spacing w:after="20"/>
              <w:ind w:left="20"/>
              <w:jc w:val="both"/>
            </w:pPr>
            <w:r>
              <w:rPr>
                <w:rFonts w:ascii="Times New Roman"/>
                <w:b w:val="false"/>
                <w:i w:val="false"/>
                <w:color w:val="000000"/>
                <w:sz w:val="20"/>
              </w:rPr>
              <w:t>(только в части следующих территорий):</w:t>
            </w:r>
          </w:p>
          <w:p>
            <w:pPr>
              <w:spacing w:after="20"/>
              <w:ind w:left="20"/>
              <w:jc w:val="both"/>
            </w:pPr>
            <w:r>
              <w:rPr>
                <w:rFonts w:ascii="Times New Roman"/>
                <w:b w:val="false"/>
                <w:i w:val="false"/>
                <w:color w:val="000000"/>
                <w:sz w:val="20"/>
              </w:rPr>
              <w:t>Острова Ангилья;</w:t>
            </w:r>
          </w:p>
          <w:p>
            <w:pPr>
              <w:spacing w:after="20"/>
              <w:ind w:left="20"/>
              <w:jc w:val="both"/>
            </w:pPr>
            <w:r>
              <w:rPr>
                <w:rFonts w:ascii="Times New Roman"/>
                <w:b w:val="false"/>
                <w:i w:val="false"/>
                <w:color w:val="000000"/>
                <w:sz w:val="20"/>
              </w:rPr>
              <w:t>Бермудские острова;</w:t>
            </w:r>
          </w:p>
          <w:p>
            <w:pPr>
              <w:spacing w:after="20"/>
              <w:ind w:left="20"/>
              <w:jc w:val="both"/>
            </w:pPr>
            <w:r>
              <w:rPr>
                <w:rFonts w:ascii="Times New Roman"/>
                <w:b w:val="false"/>
                <w:i w:val="false"/>
                <w:color w:val="000000"/>
                <w:sz w:val="20"/>
              </w:rPr>
              <w:t>Британские Виргинские острова;</w:t>
            </w:r>
          </w:p>
          <w:p>
            <w:pPr>
              <w:spacing w:after="20"/>
              <w:ind w:left="20"/>
              <w:jc w:val="both"/>
            </w:pPr>
            <w:r>
              <w:rPr>
                <w:rFonts w:ascii="Times New Roman"/>
                <w:b w:val="false"/>
                <w:i w:val="false"/>
                <w:color w:val="000000"/>
                <w:sz w:val="20"/>
              </w:rPr>
              <w:t>Гибралтар;</w:t>
            </w:r>
          </w:p>
          <w:p>
            <w:pPr>
              <w:spacing w:after="20"/>
              <w:ind w:left="20"/>
              <w:jc w:val="both"/>
            </w:pPr>
            <w:r>
              <w:rPr>
                <w:rFonts w:ascii="Times New Roman"/>
                <w:b w:val="false"/>
                <w:i w:val="false"/>
                <w:color w:val="000000"/>
                <w:sz w:val="20"/>
              </w:rPr>
              <w:t>Каймановы острова;</w:t>
            </w:r>
          </w:p>
          <w:p>
            <w:pPr>
              <w:spacing w:after="20"/>
              <w:ind w:left="20"/>
              <w:jc w:val="both"/>
            </w:pPr>
            <w:r>
              <w:rPr>
                <w:rFonts w:ascii="Times New Roman"/>
                <w:b w:val="false"/>
                <w:i w:val="false"/>
                <w:color w:val="000000"/>
                <w:sz w:val="20"/>
              </w:rPr>
              <w:t>Остров Монтсеррат;</w:t>
            </w:r>
          </w:p>
          <w:p>
            <w:pPr>
              <w:spacing w:after="20"/>
              <w:ind w:left="20"/>
              <w:jc w:val="both"/>
            </w:pPr>
            <w:r>
              <w:rPr>
                <w:rFonts w:ascii="Times New Roman"/>
                <w:b w:val="false"/>
                <w:i w:val="false"/>
                <w:color w:val="000000"/>
                <w:sz w:val="20"/>
              </w:rPr>
              <w:t>Острова Теркс и Кайкос;</w:t>
            </w:r>
          </w:p>
          <w:p>
            <w:pPr>
              <w:spacing w:after="20"/>
              <w:ind w:left="20"/>
              <w:jc w:val="both"/>
            </w:pPr>
            <w:r>
              <w:rPr>
                <w:rFonts w:ascii="Times New Roman"/>
                <w:b w:val="false"/>
                <w:i w:val="false"/>
                <w:color w:val="000000"/>
                <w:sz w:val="20"/>
              </w:rPr>
              <w:t>Остров Мэн;</w:t>
            </w:r>
          </w:p>
          <w:p>
            <w:pPr>
              <w:spacing w:after="20"/>
              <w:ind w:left="20"/>
              <w:jc w:val="both"/>
            </w:pPr>
            <w:r>
              <w:rPr>
                <w:rFonts w:ascii="Times New Roman"/>
                <w:b w:val="false"/>
                <w:i w:val="false"/>
                <w:color w:val="000000"/>
                <w:sz w:val="20"/>
              </w:rPr>
              <w:t>Нормандские острова (острова Гернси, Джерси, Сарк, Олдерни);</w:t>
            </w:r>
          </w:p>
          <w:p>
            <w:pPr>
              <w:spacing w:after="20"/>
              <w:ind w:left="20"/>
              <w:jc w:val="both"/>
            </w:pPr>
            <w:r>
              <w:rPr>
                <w:rFonts w:ascii="Times New Roman"/>
                <w:b w:val="false"/>
                <w:i w:val="false"/>
                <w:color w:val="000000"/>
                <w:sz w:val="20"/>
              </w:rPr>
              <w:t>44) Республика Филиппины;</w:t>
            </w:r>
          </w:p>
          <w:p>
            <w:pPr>
              <w:spacing w:after="20"/>
              <w:ind w:left="20"/>
              <w:jc w:val="both"/>
            </w:pPr>
            <w:r>
              <w:rPr>
                <w:rFonts w:ascii="Times New Roman"/>
                <w:b w:val="false"/>
                <w:i w:val="false"/>
                <w:color w:val="000000"/>
                <w:sz w:val="20"/>
              </w:rPr>
              <w:t>45) Демократическая Республика Шри-Ланка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балансе и имеющие кредитный рейтинг от "ВВ+" до "ВВ-" агентства Standard &amp; Poor's (Стандард энд Пурс) или рейтинг аналогичного уровня одного из других рейтинговых агентств или рейтинговую оценку от "kzBB+" до "kzBB-" по национальной шкале агентства Standard &amp; Poor's (Стандард энд Пурс)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 V группу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Таблице активов банка,</w:t>
            </w:r>
            <w:r>
              <w:br/>
            </w:r>
            <w:r>
              <w:rPr>
                <w:rFonts w:ascii="Times New Roman"/>
                <w:b w:val="false"/>
                <w:i w:val="false"/>
                <w:color w:val="000000"/>
                <w:sz w:val="20"/>
              </w:rPr>
              <w:t>взвешенных по степени</w:t>
            </w:r>
            <w:r>
              <w:br/>
            </w:r>
            <w:r>
              <w:rPr>
                <w:rFonts w:ascii="Times New Roman"/>
                <w:b w:val="false"/>
                <w:i w:val="false"/>
                <w:color w:val="000000"/>
                <w:sz w:val="20"/>
              </w:rPr>
              <w:t>кредитного риска вложений</w:t>
            </w:r>
          </w:p>
        </w:tc>
      </w:tr>
    </w:tbl>
    <w:bookmarkStart w:name="z596" w:id="571"/>
    <w:p>
      <w:pPr>
        <w:spacing w:after="0"/>
        <w:ind w:left="0"/>
        <w:jc w:val="left"/>
      </w:pPr>
      <w:r>
        <w:rPr>
          <w:rFonts w:ascii="Times New Roman"/>
          <w:b/>
          <w:i w:val="false"/>
          <w:color w:val="000000"/>
        </w:rPr>
        <w:t xml:space="preserve"> Пояснения к расчету активов банка, подлежащих взвешиванию по степени кредитного риска вложений</w:t>
      </w:r>
    </w:p>
    <w:bookmarkEnd w:id="571"/>
    <w:bookmarkStart w:name="z597" w:id="572"/>
    <w:p>
      <w:pPr>
        <w:spacing w:after="0"/>
        <w:ind w:left="0"/>
        <w:jc w:val="both"/>
      </w:pPr>
      <w:r>
        <w:rPr>
          <w:rFonts w:ascii="Times New Roman"/>
          <w:b w:val="false"/>
          <w:i w:val="false"/>
          <w:color w:val="000000"/>
          <w:sz w:val="28"/>
        </w:rPr>
        <w:t>
      1. Вклады, дебиторская задолженность, приобретенные ценные бумаги, займы, по которым у банка имеется обеспечение (в виде активов, указанных в строках 1, 2, 3, 10, 11, 12, 15, 16, 17, 18, 19 и 20 Таблицы активов банка, взвешенных по степени кредитного риска вложений (далее – Таблица), скорректированная стоимость которого составляет не менее 50 (пятидесяти) процентов объема указанных активов, при наличии в банках адекватных систем учета, позволяющих определить скорректированную стоимость обеспечения в соответствии с настоящим пунктом, включаются в расчет активов, взвешенных по степени риска, за минусом скорректированной стоимости обеспечения.</w:t>
      </w:r>
    </w:p>
    <w:bookmarkEnd w:id="572"/>
    <w:bookmarkStart w:name="z598" w:id="573"/>
    <w:p>
      <w:pPr>
        <w:spacing w:after="0"/>
        <w:ind w:left="0"/>
        <w:jc w:val="both"/>
      </w:pPr>
      <w:r>
        <w:rPr>
          <w:rFonts w:ascii="Times New Roman"/>
          <w:b w:val="false"/>
          <w:i w:val="false"/>
          <w:color w:val="000000"/>
          <w:sz w:val="28"/>
        </w:rPr>
        <w:t>
      Скорректированная стоимость обеспечения (в виде активов, указанных в строках 1, 2, 3, 10, 11, 12, 15, 16, 17, 18, 19 и 20 Таблицы) равняется:</w:t>
      </w:r>
    </w:p>
    <w:bookmarkEnd w:id="573"/>
    <w:bookmarkStart w:name="z599" w:id="574"/>
    <w:p>
      <w:pPr>
        <w:spacing w:after="0"/>
        <w:ind w:left="0"/>
        <w:jc w:val="both"/>
      </w:pPr>
      <w:r>
        <w:rPr>
          <w:rFonts w:ascii="Times New Roman"/>
          <w:b w:val="false"/>
          <w:i w:val="false"/>
          <w:color w:val="000000"/>
          <w:sz w:val="28"/>
        </w:rPr>
        <w:t>
      100 (ста) процентам суммы вкладов, в том числе в данном банке, предоставленных в качестве обеспечения;</w:t>
      </w:r>
    </w:p>
    <w:bookmarkEnd w:id="574"/>
    <w:bookmarkStart w:name="z600" w:id="575"/>
    <w:p>
      <w:pPr>
        <w:spacing w:after="0"/>
        <w:ind w:left="0"/>
        <w:jc w:val="both"/>
      </w:pPr>
      <w:r>
        <w:rPr>
          <w:rFonts w:ascii="Times New Roman"/>
          <w:b w:val="false"/>
          <w:i w:val="false"/>
          <w:color w:val="000000"/>
          <w:sz w:val="28"/>
        </w:rPr>
        <w:t>
      95 (девяносто пяти) процентам рыночной стоимости ценных бумаг, переданных в обеспечение;</w:t>
      </w:r>
    </w:p>
    <w:bookmarkEnd w:id="575"/>
    <w:bookmarkStart w:name="z601" w:id="576"/>
    <w:p>
      <w:pPr>
        <w:spacing w:after="0"/>
        <w:ind w:left="0"/>
        <w:jc w:val="both"/>
      </w:pPr>
      <w:r>
        <w:rPr>
          <w:rFonts w:ascii="Times New Roman"/>
          <w:b w:val="false"/>
          <w:i w:val="false"/>
          <w:color w:val="000000"/>
          <w:sz w:val="28"/>
        </w:rPr>
        <w:t>
      85 (восьмидесяти пяти) процентам рыночной стоимости аффинированных драгоценных металлов, переданных в обеспечение.</w:t>
      </w:r>
    </w:p>
    <w:bookmarkEnd w:id="576"/>
    <w:bookmarkStart w:name="z602" w:id="577"/>
    <w:p>
      <w:pPr>
        <w:spacing w:after="0"/>
        <w:ind w:left="0"/>
        <w:jc w:val="both"/>
      </w:pPr>
      <w:r>
        <w:rPr>
          <w:rFonts w:ascii="Times New Roman"/>
          <w:b w:val="false"/>
          <w:i w:val="false"/>
          <w:color w:val="000000"/>
          <w:sz w:val="28"/>
        </w:rPr>
        <w:t>
      Необеспеченная часть вышеуказанных вкладов, дебиторской задолженности, приобретенных ценных бумаг, взвешивается согласно Таблице, по степени риска, соответствующей вкладам, дебиторской задолженности, приобретенным ценным бумагам.</w:t>
      </w:r>
    </w:p>
    <w:bookmarkEnd w:id="577"/>
    <w:bookmarkStart w:name="z603" w:id="578"/>
    <w:p>
      <w:pPr>
        <w:spacing w:after="0"/>
        <w:ind w:left="0"/>
        <w:jc w:val="both"/>
      </w:pPr>
      <w:r>
        <w:rPr>
          <w:rFonts w:ascii="Times New Roman"/>
          <w:b w:val="false"/>
          <w:i w:val="false"/>
          <w:color w:val="000000"/>
          <w:sz w:val="28"/>
        </w:rPr>
        <w:t>
      2. Займы, по которым у банка имеется обеспечение в виде безотзывной и безусловной гарантии акционерных обществ "Фонд национального благосостояния "Самрук-Қазына" и "Национальный управляющий холдинг "Байтерек", договора страхования, содержащего пункты о безусловном и безотзывном исполнении обязательств по страховой выплате, заключенного с Экспортно-кредитным агентством Казахстана, имеющим государственную гарантию по поддержке экспорта, гарантий или резервных аккредитивов, выпущенных в соответствии с Международной практикой резервных аккредитивов (International Standby Practices, ISP98) или Унифицированными правилами для гарантий по требованию (Uniform Rules for Demand Guarantees, URDG758), банков-нерезидентов Республики Казахстан, имеющих долгосрочный долговой рейтинг не ниже "А-" агентства Standard &amp; Poor's (Стандард энд Пурс) или рейтинг аналогичного уровня одного из других рейтинговых агентств сумма которых покрывает не менее 50 (пятидесяти) процентов объема указанных займов, включаются в расчет активов, взвешенных по степени риска за минусом скорректированной стоимости обеспечения.</w:t>
      </w:r>
    </w:p>
    <w:bookmarkEnd w:id="578"/>
    <w:bookmarkStart w:name="z604" w:id="579"/>
    <w:p>
      <w:pPr>
        <w:spacing w:after="0"/>
        <w:ind w:left="0"/>
        <w:jc w:val="both"/>
      </w:pPr>
      <w:r>
        <w:rPr>
          <w:rFonts w:ascii="Times New Roman"/>
          <w:b w:val="false"/>
          <w:i w:val="false"/>
          <w:color w:val="000000"/>
          <w:sz w:val="28"/>
        </w:rPr>
        <w:t>
      Скорректированная стоимость обеспечения в виде гарантии акционерных обществ "Фонд национального благосостояния "Самрук-Қазына" и "Национальный управляющий холдинг "Байтерек", договора страхования, содержащего пункты о безусловном и безотзывном исполнении обязательств по страховой выплате, заключенного с Экспортно-кредитным агентством Казахстана, имеющим государственную гарантию по поддержке экспорта, гарантии или резервных аккредитивов, выпущенных в соответствии с Международной практикой резервных аккредитивов (International Standby Practices, ISP98) или Унифицированными правилами для гарантий по требованию (Uniform Rules for Demand Guarantees, URDG758), банков-нерезидентов Республики Казахстан, имеющих долгосрочный долговой рейтинг не ниже "А-" агентства Standard &amp; Poor's (Стандард энд Пурс) или рейтинг аналогичного уровня одного из других рейтинговых агентств равняется 95 (девяноста пяти) процентам суммы гарантии, договора страхования.</w:t>
      </w:r>
    </w:p>
    <w:bookmarkEnd w:id="579"/>
    <w:bookmarkStart w:name="z605" w:id="580"/>
    <w:p>
      <w:pPr>
        <w:spacing w:after="0"/>
        <w:ind w:left="0"/>
        <w:jc w:val="both"/>
      </w:pPr>
      <w:r>
        <w:rPr>
          <w:rFonts w:ascii="Times New Roman"/>
          <w:b w:val="false"/>
          <w:i w:val="false"/>
          <w:color w:val="000000"/>
          <w:sz w:val="28"/>
        </w:rPr>
        <w:t>
      3. Вклады, дебиторская задолженность, приобретенные ценные бумаги, займы, инвестиции, не включенные в расчет инвестиций банка, гарантированные (застрахованные) организациями, имеющими степень риска ниже контрагента, включаются в расчет активов, взвешенных по степени риска (за минусом гарантированной (застрахованной) суммы вкладов, дебиторской задолженности, приобретенных ценных бумаг, займов, инвестиций, не включенных в расчет инвестиций банка) по степени риска должника.</w:t>
      </w:r>
    </w:p>
    <w:bookmarkEnd w:id="580"/>
    <w:bookmarkStart w:name="z606" w:id="581"/>
    <w:p>
      <w:pPr>
        <w:spacing w:after="0"/>
        <w:ind w:left="0"/>
        <w:jc w:val="both"/>
      </w:pPr>
      <w:r>
        <w:rPr>
          <w:rFonts w:ascii="Times New Roman"/>
          <w:b w:val="false"/>
          <w:i w:val="false"/>
          <w:color w:val="000000"/>
          <w:sz w:val="28"/>
        </w:rPr>
        <w:t>
      Гарантированная (застрахованная) сумма вкладов, дебиторской задолженности, приобретенных ценных бумаг, займов, инвестиций, не включенных в расчет инвестиций банка, взвешивается по степени риска дебиторской задолженности соответствующего гаранта (страховщика).</w:t>
      </w:r>
    </w:p>
    <w:bookmarkEnd w:id="581"/>
    <w:bookmarkStart w:name="z607" w:id="582"/>
    <w:p>
      <w:pPr>
        <w:spacing w:after="0"/>
        <w:ind w:left="0"/>
        <w:jc w:val="both"/>
      </w:pPr>
      <w:r>
        <w:rPr>
          <w:rFonts w:ascii="Times New Roman"/>
          <w:b w:val="false"/>
          <w:i w:val="false"/>
          <w:color w:val="000000"/>
          <w:sz w:val="28"/>
        </w:rPr>
        <w:t>
      4. Вклады, дебиторская задолженность, приобретенные ценные бумаги и займы, указанные в пункте 1 настоящих Пояснений к расчету активов банка, подлежащих взвешиванию по степени кредитного риска вложений (далее - Пояснения), предоставленные нерезидентам Республики Казахстан:</w:t>
      </w:r>
    </w:p>
    <w:bookmarkEnd w:id="582"/>
    <w:bookmarkStart w:name="z608" w:id="583"/>
    <w:p>
      <w:pPr>
        <w:spacing w:after="0"/>
        <w:ind w:left="0"/>
        <w:jc w:val="both"/>
      </w:pPr>
      <w:r>
        <w:rPr>
          <w:rFonts w:ascii="Times New Roman"/>
          <w:b w:val="false"/>
          <w:i w:val="false"/>
          <w:color w:val="000000"/>
          <w:sz w:val="28"/>
        </w:rPr>
        <w:t>
      1) зарегистрированным в качестве юридического лица на территории офшорных зон;</w:t>
      </w:r>
    </w:p>
    <w:bookmarkEnd w:id="583"/>
    <w:bookmarkStart w:name="z609" w:id="584"/>
    <w:p>
      <w:pPr>
        <w:spacing w:after="0"/>
        <w:ind w:left="0"/>
        <w:jc w:val="both"/>
      </w:pPr>
      <w:r>
        <w:rPr>
          <w:rFonts w:ascii="Times New Roman"/>
          <w:b w:val="false"/>
          <w:i w:val="false"/>
          <w:color w:val="000000"/>
          <w:sz w:val="28"/>
        </w:rPr>
        <w:t>
      2) являющимся зависимыми от юридических лиц, зарегистрированных на территории офшорных зон, владеющих в отдельности более чем 5 (пятью) процентами уставного капитала, или дочерними по отношению к юридическому лицу, зарегистрированному на территории офшорной зоны;</w:t>
      </w:r>
    </w:p>
    <w:bookmarkEnd w:id="584"/>
    <w:bookmarkStart w:name="z610" w:id="585"/>
    <w:p>
      <w:pPr>
        <w:spacing w:after="0"/>
        <w:ind w:left="0"/>
        <w:jc w:val="both"/>
      </w:pPr>
      <w:r>
        <w:rPr>
          <w:rFonts w:ascii="Times New Roman"/>
          <w:b w:val="false"/>
          <w:i w:val="false"/>
          <w:color w:val="000000"/>
          <w:sz w:val="28"/>
        </w:rPr>
        <w:t>
      3) являющимся гражданами офшорных зон;</w:t>
      </w:r>
    </w:p>
    <w:bookmarkEnd w:id="585"/>
    <w:bookmarkStart w:name="z611" w:id="586"/>
    <w:p>
      <w:pPr>
        <w:spacing w:after="0"/>
        <w:ind w:left="0"/>
        <w:jc w:val="both"/>
      </w:pPr>
      <w:r>
        <w:rPr>
          <w:rFonts w:ascii="Times New Roman"/>
          <w:b w:val="false"/>
          <w:i w:val="false"/>
          <w:color w:val="000000"/>
          <w:sz w:val="28"/>
        </w:rPr>
        <w:t>
      взвешиваются по степени риска согласно Таблице, независимо от наличия обеспечения, указанного в пункте 1 Пояснений.</w:t>
      </w:r>
    </w:p>
    <w:bookmarkEnd w:id="586"/>
    <w:bookmarkStart w:name="z612" w:id="587"/>
    <w:p>
      <w:pPr>
        <w:spacing w:after="0"/>
        <w:ind w:left="0"/>
        <w:jc w:val="both"/>
      </w:pPr>
      <w:r>
        <w:rPr>
          <w:rFonts w:ascii="Times New Roman"/>
          <w:b w:val="false"/>
          <w:i w:val="false"/>
          <w:color w:val="000000"/>
          <w:sz w:val="28"/>
        </w:rPr>
        <w:t>
      5. Вклады, дебиторская задолженность, приобретенные ценные бумаги и займы, указанные в пункте 1 Пояснений, предоставленные нерезидентам Республики Казахстан:</w:t>
      </w:r>
    </w:p>
    <w:bookmarkEnd w:id="587"/>
    <w:bookmarkStart w:name="z613" w:id="588"/>
    <w:p>
      <w:pPr>
        <w:spacing w:after="0"/>
        <w:ind w:left="0"/>
        <w:jc w:val="both"/>
      </w:pPr>
      <w:r>
        <w:rPr>
          <w:rFonts w:ascii="Times New Roman"/>
          <w:b w:val="false"/>
          <w:i w:val="false"/>
          <w:color w:val="000000"/>
          <w:sz w:val="28"/>
        </w:rPr>
        <w:t>
      1) зарегистрированным в качестве юридического лица на территории офшорных зон, но имеющим долговой рейтинг не ниже "АА-" агентства Standard &amp; Poor's (Стандард энд Пурс) или рейтинг аналогичного уровня одного из других рейтинговых агентств или соответствующую гарантию головной организации, долговой рейтинг которой не ниже указанного уровня, в обеспечение всей суммы обязательств;</w:t>
      </w:r>
    </w:p>
    <w:bookmarkEnd w:id="588"/>
    <w:bookmarkStart w:name="z614" w:id="589"/>
    <w:p>
      <w:pPr>
        <w:spacing w:after="0"/>
        <w:ind w:left="0"/>
        <w:jc w:val="both"/>
      </w:pPr>
      <w:r>
        <w:rPr>
          <w:rFonts w:ascii="Times New Roman"/>
          <w:b w:val="false"/>
          <w:i w:val="false"/>
          <w:color w:val="000000"/>
          <w:sz w:val="28"/>
        </w:rPr>
        <w:t>
      2) являющимся зависимыми от юридических лиц, зарегистрированных на территории офшорных зон, владеющих в отдельности более 5 (пятью) процентами уставного капитала, или дочерними по отношению к юридическому лицу, зарегистрированному на территории офшорной зоны, но имеющему долговой рейтинг не ниже указанного уровня или соответствующую гарантию головной организации, долговой рейтинг которой не ниже указанного уровня, в обеспечение всей суммы обязательств, за исключением требований к нерезидентам Республики Казахстан, являющимся юридическими лицами, зарегистрированными на территории офшорных зон, или их гражданами либо юридическими лицами, зарегистрированными на территории государств, отнесенных Организацией экономического сотрудничества и развития к перечню офшорных территорий, не принявших обязательств по информационному обмену, или их гражданами, или к организациям, являющимся зависимыми от юридических лиц, владеющих в отдельности более 5 (пятью) процентами уставного капитала, либо дочерними по отношению к юридическим лицам, зарегистрированным на территории указанных офшорных зон;</w:t>
      </w:r>
    </w:p>
    <w:bookmarkEnd w:id="589"/>
    <w:bookmarkStart w:name="z615" w:id="590"/>
    <w:p>
      <w:pPr>
        <w:spacing w:after="0"/>
        <w:ind w:left="0"/>
        <w:jc w:val="both"/>
      </w:pPr>
      <w:r>
        <w:rPr>
          <w:rFonts w:ascii="Times New Roman"/>
          <w:b w:val="false"/>
          <w:i w:val="false"/>
          <w:color w:val="000000"/>
          <w:sz w:val="28"/>
        </w:rPr>
        <w:t>
      взвешиваются по нулевой степени риска.</w:t>
      </w:r>
    </w:p>
    <w:bookmarkEnd w:id="590"/>
    <w:bookmarkStart w:name="z616" w:id="591"/>
    <w:p>
      <w:pPr>
        <w:spacing w:after="0"/>
        <w:ind w:left="0"/>
        <w:jc w:val="both"/>
      </w:pPr>
      <w:r>
        <w:rPr>
          <w:rFonts w:ascii="Times New Roman"/>
          <w:b w:val="false"/>
          <w:i w:val="false"/>
          <w:color w:val="000000"/>
          <w:sz w:val="28"/>
        </w:rPr>
        <w:t>
      6. Для целей расчета активов банка, взвешенных по степени риска вложений:</w:t>
      </w:r>
    </w:p>
    <w:bookmarkEnd w:id="591"/>
    <w:bookmarkStart w:name="z617" w:id="592"/>
    <w:p>
      <w:pPr>
        <w:spacing w:after="0"/>
        <w:ind w:left="0"/>
        <w:jc w:val="both"/>
      </w:pPr>
      <w:r>
        <w:rPr>
          <w:rFonts w:ascii="Times New Roman"/>
          <w:b w:val="false"/>
          <w:i w:val="false"/>
          <w:color w:val="000000"/>
          <w:sz w:val="28"/>
        </w:rPr>
        <w:t>
      под ипотечным жилищным займом понимается ипотечный заем, предоставленный физическим лицам в целях строительства жилища либо его покупки и (или) ремонта;</w:t>
      </w:r>
    </w:p>
    <w:bookmarkEnd w:id="592"/>
    <w:bookmarkStart w:name="z618" w:id="593"/>
    <w:p>
      <w:pPr>
        <w:spacing w:after="0"/>
        <w:ind w:left="0"/>
        <w:jc w:val="both"/>
      </w:pPr>
      <w:r>
        <w:rPr>
          <w:rFonts w:ascii="Times New Roman"/>
          <w:b w:val="false"/>
          <w:i w:val="false"/>
          <w:color w:val="000000"/>
          <w:sz w:val="28"/>
        </w:rPr>
        <w:t>
      под потребительским займом понимается заем, предоставленный физическим лицам на приобретение товаров, работ и услуг, не связанных с осуществлением предпринимательской деятельности.</w:t>
      </w:r>
    </w:p>
    <w:bookmarkEnd w:id="593"/>
    <w:bookmarkStart w:name="z619" w:id="594"/>
    <w:p>
      <w:pPr>
        <w:spacing w:after="0"/>
        <w:ind w:left="0"/>
        <w:jc w:val="both"/>
      </w:pPr>
      <w:r>
        <w:rPr>
          <w:rFonts w:ascii="Times New Roman"/>
          <w:b w:val="false"/>
          <w:i w:val="false"/>
          <w:color w:val="000000"/>
          <w:sz w:val="28"/>
        </w:rPr>
        <w:t>
      7. Если ценная бумага имеет специальный долговой рейтинг выпуска, то при взвешивании активов банка по степени риска необходимо учитывать рейтинг ценной бумаги.</w:t>
      </w:r>
    </w:p>
    <w:bookmarkEnd w:id="594"/>
    <w:bookmarkStart w:name="z620" w:id="595"/>
    <w:p>
      <w:pPr>
        <w:spacing w:after="0"/>
        <w:ind w:left="0"/>
        <w:jc w:val="both"/>
      </w:pPr>
      <w:r>
        <w:rPr>
          <w:rFonts w:ascii="Times New Roman"/>
          <w:b w:val="false"/>
          <w:i w:val="false"/>
          <w:color w:val="000000"/>
          <w:sz w:val="28"/>
        </w:rPr>
        <w:t>
      8. Ценные бумаги, являющиеся предметом операции "обратного репо", заключенной с участием центрального контрагента, взвешиваются по нулевой степени риска.</w:t>
      </w:r>
    </w:p>
    <w:bookmarkEnd w:id="595"/>
    <w:bookmarkStart w:name="z621" w:id="596"/>
    <w:p>
      <w:pPr>
        <w:spacing w:after="0"/>
        <w:ind w:left="0"/>
        <w:jc w:val="both"/>
      </w:pPr>
      <w:r>
        <w:rPr>
          <w:rFonts w:ascii="Times New Roman"/>
          <w:b w:val="false"/>
          <w:i w:val="false"/>
          <w:color w:val="000000"/>
          <w:sz w:val="28"/>
        </w:rPr>
        <w:t>
      9. В период с 21 февраля 2022 года по 30 сентября 2022 года включительно активы в виде требований по открытым корреспондентским счетам к банкам-нерезидентам Республики Казахстан, вкладов в организациях-нерезидентах Республики Казахстан, займов, предоставленных организациям-нерезидентам Республики Казахстан, ценных бумаг иностранных эмитентов, долговой или суверенный рейтинг которых был понижен по причине введения санкционных ограничений со стороны Соединенных Штатов Америки и стран Европейского Союза, включаются в расчет активов, взвешиваемых по степени кредитного риска в соответствии с Таблицей, на основании долговых или суверенных рейтингов присвоенных им агентством Standard &amp; Poor's (Стандард энд Пурс) или одним из других рейтинговых агентств по состоянию на 1 февраля 2022 года, с повышением равными долями в течение последовательных 6 (шести) месяцев степени кредитного риска до категории активов в соответствии с Таблицей с учетом пересмотренных долговых или суверенных рейтингов.</w:t>
      </w:r>
    </w:p>
    <w:bookmarkEnd w:id="596"/>
    <w:bookmarkStart w:name="z622" w:id="597"/>
    <w:p>
      <w:pPr>
        <w:spacing w:after="0"/>
        <w:ind w:left="0"/>
        <w:jc w:val="both"/>
      </w:pPr>
      <w:r>
        <w:rPr>
          <w:rFonts w:ascii="Times New Roman"/>
          <w:b w:val="false"/>
          <w:i w:val="false"/>
          <w:color w:val="000000"/>
          <w:sz w:val="28"/>
        </w:rPr>
        <w:t xml:space="preserve">
      10. Степень кредитного риска по займу согласно Таблице или Значениям коэффициентов взвешивания по степени кредитного риска вложений по беззалоговым потребительским займам при расчете коэффициента долговой нагрузки согласно приложению 5-1 к Нормативам (далее – Значения) снижается в два раза, если в отношении такого займа заемщиком - физическим лицом осуществляется выполнение плана реабилитации, составленного в соответствии с пунктом 19 Правил предоставления банковских услуг и рассмотрения банками, организациями, осуществляющими отдельные виды банковских операций, обращений клиентов, возникающих в процессе предоставления банковских услуг,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28 июля 2017 года № 136 (зарегистрированным в Реестре государственной регистрации нормативных правовых актов под № 15541).</w:t>
      </w:r>
    </w:p>
    <w:bookmarkEnd w:id="597"/>
    <w:bookmarkStart w:name="z623" w:id="598"/>
    <w:p>
      <w:pPr>
        <w:spacing w:after="0"/>
        <w:ind w:left="0"/>
        <w:jc w:val="both"/>
      </w:pPr>
      <w:r>
        <w:rPr>
          <w:rFonts w:ascii="Times New Roman"/>
          <w:b w:val="false"/>
          <w:i w:val="false"/>
          <w:color w:val="000000"/>
          <w:sz w:val="28"/>
        </w:rPr>
        <w:t>
      В случае неисполнения заемщиком-физическим лицом плана реабилитации, указанного в части первой настоящего пункта, заем взвешивается по степени кредитного риска согласно Таблице или Значениям.</w:t>
      </w:r>
    </w:p>
    <w:bookmarkEnd w:id="598"/>
    <w:bookmarkStart w:name="z624" w:id="599"/>
    <w:p>
      <w:pPr>
        <w:spacing w:after="0"/>
        <w:ind w:left="0"/>
        <w:jc w:val="both"/>
      </w:pPr>
      <w:r>
        <w:rPr>
          <w:rFonts w:ascii="Times New Roman"/>
          <w:b w:val="false"/>
          <w:i w:val="false"/>
          <w:color w:val="000000"/>
          <w:sz w:val="28"/>
        </w:rPr>
        <w:t>
      11. Активы, включенные в расчет активов, условных и возможных требований и обязательств с учетом рыночного риска в соответствии с пунктом 21 Нормативов, не включаются в расчет активов, условных и возможных обязательств, взвешиваемых по степени кредитного риска, за исключением активов, включенных в расчет финансовых инструментов с рыночным риском, связанным с изменением обменных курсов валют и курсов драгоценных металлов.</w:t>
      </w:r>
    </w:p>
    <w:bookmarkEnd w:id="5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Перечню</w:t>
            </w:r>
            <w:r>
              <w:br/>
            </w:r>
            <w:r>
              <w:rPr>
                <w:rFonts w:ascii="Times New Roman"/>
                <w:b w:val="false"/>
                <w:i w:val="false"/>
                <w:color w:val="000000"/>
                <w:sz w:val="20"/>
              </w:rPr>
              <w:t>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вопросам регулирования</w:t>
            </w:r>
            <w:r>
              <w:br/>
            </w:r>
            <w:r>
              <w:rPr>
                <w:rFonts w:ascii="Times New Roman"/>
                <w:b w:val="false"/>
                <w:i w:val="false"/>
                <w:color w:val="000000"/>
                <w:sz w:val="20"/>
              </w:rPr>
              <w:t>банковской деятельности,</w:t>
            </w:r>
            <w:r>
              <w:br/>
            </w:r>
            <w:r>
              <w:rPr>
                <w:rFonts w:ascii="Times New Roman"/>
                <w:b w:val="false"/>
                <w:i w:val="false"/>
                <w:color w:val="000000"/>
                <w:sz w:val="20"/>
              </w:rPr>
              <w:t xml:space="preserve"> в 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Нормативным значениям</w:t>
            </w:r>
            <w:r>
              <w:br/>
            </w:r>
            <w:r>
              <w:rPr>
                <w:rFonts w:ascii="Times New Roman"/>
                <w:b w:val="false"/>
                <w:i w:val="false"/>
                <w:color w:val="000000"/>
                <w:sz w:val="20"/>
              </w:rPr>
              <w:t>и методикам расчетов</w:t>
            </w:r>
            <w:r>
              <w:br/>
            </w:r>
            <w:r>
              <w:rPr>
                <w:rFonts w:ascii="Times New Roman"/>
                <w:b w:val="false"/>
                <w:i w:val="false"/>
                <w:color w:val="000000"/>
                <w:sz w:val="20"/>
              </w:rPr>
              <w:t>пруденциальных нормативов</w:t>
            </w:r>
            <w:r>
              <w:br/>
            </w:r>
            <w:r>
              <w:rPr>
                <w:rFonts w:ascii="Times New Roman"/>
                <w:b w:val="false"/>
                <w:i w:val="false"/>
                <w:color w:val="000000"/>
                <w:sz w:val="20"/>
              </w:rPr>
              <w:t>и иных обязательных</w:t>
            </w:r>
            <w:r>
              <w:br/>
            </w:r>
            <w:r>
              <w:rPr>
                <w:rFonts w:ascii="Times New Roman"/>
                <w:b w:val="false"/>
                <w:i w:val="false"/>
                <w:color w:val="000000"/>
                <w:sz w:val="20"/>
              </w:rPr>
              <w:t>к соблюдению норм и лимитов,</w:t>
            </w:r>
            <w:r>
              <w:br/>
            </w:r>
            <w:r>
              <w:rPr>
                <w:rFonts w:ascii="Times New Roman"/>
                <w:b w:val="false"/>
                <w:i w:val="false"/>
                <w:color w:val="000000"/>
                <w:sz w:val="20"/>
              </w:rPr>
              <w:t>размеру капитала банка</w:t>
            </w:r>
          </w:p>
        </w:tc>
      </w:tr>
    </w:tbl>
    <w:bookmarkStart w:name="z627" w:id="600"/>
    <w:p>
      <w:pPr>
        <w:spacing w:after="0"/>
        <w:ind w:left="0"/>
        <w:jc w:val="left"/>
      </w:pPr>
      <w:r>
        <w:rPr>
          <w:rFonts w:ascii="Times New Roman"/>
          <w:b/>
          <w:i w:val="false"/>
          <w:color w:val="000000"/>
        </w:rPr>
        <w:t xml:space="preserve"> Таблица денежных оттоков и притоков банка</w:t>
      </w:r>
    </w:p>
    <w:bookmarkEnd w:id="6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оттока (притока) в процентах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оттоки по обязательствам перед физическими лицами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Стабильные депозиты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стабильные депозиты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денежные оттоки по обязательствам перед физическими лицами, не включенные в строки 1 и 2 настоящей таблицы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оттоки по обязательствам перед юридическими лицами, субъектами малого предпринимательства, не обеспеченным активами банка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размещенные нефинансовыми организациями, являющимися субъектами малого предпринимательства, полный объем которых не превышает в эквиваленте 1 (один) миллион долларов Соединенных Штатов Америки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связанные с клиринговой, кастодиальной деятельностью, деятельностью по управлению ликвидностью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нефинансовых организаций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января 2026 года –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Депозиты нефинансовых организаций, Правительства Республики Казахстан, Национального Банка, местных исполнительных органов Республики Казахстан, международных финансовых организаций, центральных правительств иностранных государств, центральных банков иностранных государств, местных органов власти иностранных государств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601"/>
          <w:p>
            <w:pPr>
              <w:spacing w:after="20"/>
              <w:ind w:left="20"/>
              <w:jc w:val="both"/>
            </w:pPr>
            <w:r>
              <w:rPr>
                <w:rFonts w:ascii="Times New Roman"/>
                <w:b w:val="false"/>
                <w:i w:val="false"/>
                <w:color w:val="000000"/>
                <w:sz w:val="20"/>
              </w:rPr>
              <w:t>
с 1 июня 2024 года по 31 декабря 2025 года – 20</w:t>
            </w:r>
          </w:p>
          <w:bookmarkEnd w:id="601"/>
          <w:p>
            <w:pPr>
              <w:spacing w:after="20"/>
              <w:ind w:left="20"/>
              <w:jc w:val="both"/>
            </w:pPr>
            <w:r>
              <w:rPr>
                <w:rFonts w:ascii="Times New Roman"/>
                <w:b w:val="false"/>
                <w:i w:val="false"/>
                <w:color w:val="000000"/>
                <w:sz w:val="20"/>
              </w:rPr>
              <w:t>
c 1 января 2026 года –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Депозиты нефинансовых организаций (группы нефинансовых организаций, в случаях когда одно юридическое лицо является крупным участником другого юридического лица, при этом размер обязательств каждого из юридических лиц превышает 0,5 (ноль целых пять десятых) процента основного капитала банка), в сумме, превышающей 5 (пять) процентов суммы обязательств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иными юридическими лицами, в том числе обязательства по выпущенным ценным бумагам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оттоки по обязательствам перед юридическими лицами, обеспеченным активами банка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обеспеченные высококачественными ликвидными активами первого уровня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Правительством Республики Казахстан и Национальным Банком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привлеченные в рамках государственных программ и программы рефинансирования ипотечных жилищных займов (ипотечных займов) Национального Банка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обеспеченные высококачественными ликвидными активами второго уровня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местными исполнительными органами Республики Казахстан, международными финансовыми организациями, взвешиваемые по степени кредитного риска не выше 20 (двадцати) процентов, обеспеченные активами, не являющимися высококачественными ликвидными активами первого и второго уровней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обеспеченные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денежные оттоки по условным и возможным обязательствам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потребность в ликвидности по условным обязательствам, сделкам с производными финансовыми инструментами и иным операциям в полном размере при снижении рейтинга банка на 1 (одну), 2 (две) либо 3 (три) ступени от текущего рейтинга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Необходимость в дополнительной ликвидности при изменении рыночной оценки позиций по производным финансовым инструментам или иным операциям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Наибольший 30 (тридцатидневный) нетто отток за предыдущие 24 (двадцать четыре) месяца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Необходимость в дополнительной ликвидности при переоценке обеспечения (за исключением высококачественных ликвидных активов первого уровня) по производным финансовым инструментам и иным операциям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превышения обеспечения, удерживаемого банком в связи с поддержанием позиции по производным финансовым инструментам, по которому предусмотрен отзыв в любое время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Необходимость в дополнительной ликвидности по операциям, предусматривающим предоставление банком обеспечения, по требованию контрагента в соответствии с условиями договора, в случае если обеспечение не предоставлено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Необходимость в дополнительной ликвидности, связанная с возможностью замены обеспечения на активы, не являющиеся высококачественными ликвидными активами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Отток по ценным бумагам, выпущенным банком, обеспеченным поступлением денег по активам и имеющим срок погашения в течение календарного месяца, следующего за датой расчета коэффициента покрытия ликвидности (в том числе по ипотечным ценным бумагам)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Отток по ценным бумагам, обеспеченным поступлением денег по активам и выпущенным дочерними специальными организациями банка (с учетом производных финансовых инструментов, предусматривающих право держателя на предъявление требования на досрочный выкуп в полном или частичном размере), имеющим срок погашения в течение календарного месяца, следующего за датой расчета коэффициента покрытия ликвидности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Неиспользованная часть кредитных линий и линий ликвидности, предоставленных физическим лицам и субъектам малого предпринимательства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Неиспользованная часть кредитных линий, предоставленных нефинансовым организациям, Правительству Республики Казахстан, Национальному Банку, местным исполнительным органам Республики Казахстан и международным финансовым организациям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Неиспользованная часть линий ликвидности, предоставленных нефинансовым организациям, Правительству Республики Казахстан, Национальному Банку, местным исполнительным органам Республики Казахстан и международным финансовым организациям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Неиспользованная часть кредитных линий и линий ликвидности, предоставленных другим банкам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Неиспользованная часть кредитных линий, предоставленных финансовым организациям, не являющимся банками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Неиспользованная часть линий ликвидности, предоставленных иным финансовым организациям, не являющимся банками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Неиспользованная часть кредитных линий и линий ликвидности, предоставленных иным юридическим лицам (в том числе дочерними специальными организациями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связанные с финансированием экспорта и импорта товаров и услуг (по гарантиям и поручительствам, аккредитивам, связанным с проведением факторинговых и форфейтинговых операций)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гарантиям и поручительствам, аккредитивам, не связанным с финансированием экспорта и импорта товаров и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денежные оттоки по обязательствам, не включенные в строки 4, 5, 6, 7, 8, 9, 10, 11, 12, 13, 14, 15, 16, 17, 18, 19, 20, 21, 22, 23, 24, 25, 26, 27, 28, 29, 30, 31 и 32 настоящей таблицы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притоки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Заемные операции, обеспеченные высококачественными ликвидными активами первого уровня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Заемные операции, обеспеченные высококачественными ликвидными активами второго уровня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для совершения купли-продажи ценных бумаг под обеспечение активов, не относящихся к высококачественным ликвидным активам (маржинальные сделки)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Заемные операции, обеспеченные иными активами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Кредитные линии, линии ликвидности, предоставленные другими банками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связанные с клиринговой, кастодиальной деятельностью, деятельностью по управлению ликвидностью клиента в других финансовых организациях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Притоки по кредитам, за исключением займов с просроченной задолженностью по основному долгу и (или) начисленному вознаграждению, в том числе выданным: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физическим лицам и субъектам малого предпринимательства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нефинансовым организациям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финансовым организациям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 притоки по производным финансовым инструментам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денежные притоки от операций, по договорам которых ожидаются денежные притоки в течение календарного месяца, следующего за датой расчета коэффициента покрытия ликвидности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Перечню</w:t>
            </w:r>
            <w:r>
              <w:br/>
            </w:r>
            <w:r>
              <w:rPr>
                <w:rFonts w:ascii="Times New Roman"/>
                <w:b w:val="false"/>
                <w:i w:val="false"/>
                <w:color w:val="000000"/>
                <w:sz w:val="20"/>
              </w:rPr>
              <w:t>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вопросам регулирования</w:t>
            </w:r>
            <w:r>
              <w:br/>
            </w:r>
            <w:r>
              <w:rPr>
                <w:rFonts w:ascii="Times New Roman"/>
                <w:b w:val="false"/>
                <w:i w:val="false"/>
                <w:color w:val="000000"/>
                <w:sz w:val="20"/>
              </w:rPr>
              <w:t>банковской деятельности,</w:t>
            </w:r>
            <w:r>
              <w:br/>
            </w:r>
            <w:r>
              <w:rPr>
                <w:rFonts w:ascii="Times New Roman"/>
                <w:b w:val="false"/>
                <w:i w:val="false"/>
                <w:color w:val="000000"/>
                <w:sz w:val="20"/>
              </w:rPr>
              <w:t>в 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Нормативным значениям</w:t>
            </w:r>
            <w:r>
              <w:br/>
            </w:r>
            <w:r>
              <w:rPr>
                <w:rFonts w:ascii="Times New Roman"/>
                <w:b w:val="false"/>
                <w:i w:val="false"/>
                <w:color w:val="000000"/>
                <w:sz w:val="20"/>
              </w:rPr>
              <w:t>и методикам расчетов</w:t>
            </w:r>
            <w:r>
              <w:br/>
            </w:r>
            <w:r>
              <w:rPr>
                <w:rFonts w:ascii="Times New Roman"/>
                <w:b w:val="false"/>
                <w:i w:val="false"/>
                <w:color w:val="000000"/>
                <w:sz w:val="20"/>
              </w:rPr>
              <w:t>пруденциальных нормативов</w:t>
            </w:r>
            <w:r>
              <w:br/>
            </w:r>
            <w:r>
              <w:rPr>
                <w:rFonts w:ascii="Times New Roman"/>
                <w:b w:val="false"/>
                <w:i w:val="false"/>
                <w:color w:val="000000"/>
                <w:sz w:val="20"/>
              </w:rPr>
              <w:t>и иных обязательных</w:t>
            </w:r>
            <w:r>
              <w:br/>
            </w:r>
            <w:r>
              <w:rPr>
                <w:rFonts w:ascii="Times New Roman"/>
                <w:b w:val="false"/>
                <w:i w:val="false"/>
                <w:color w:val="000000"/>
                <w:sz w:val="20"/>
              </w:rPr>
              <w:t>к соблюдению норм и лимитов,</w:t>
            </w:r>
            <w:r>
              <w:br/>
            </w:r>
            <w:r>
              <w:rPr>
                <w:rFonts w:ascii="Times New Roman"/>
                <w:b w:val="false"/>
                <w:i w:val="false"/>
                <w:color w:val="000000"/>
                <w:sz w:val="20"/>
              </w:rPr>
              <w:t>размеру капитала банка</w:t>
            </w:r>
          </w:p>
        </w:tc>
      </w:tr>
    </w:tbl>
    <w:bookmarkStart w:name="z631" w:id="602"/>
    <w:p>
      <w:pPr>
        <w:spacing w:after="0"/>
        <w:ind w:left="0"/>
        <w:jc w:val="left"/>
      </w:pPr>
      <w:r>
        <w:rPr>
          <w:rFonts w:ascii="Times New Roman"/>
          <w:b/>
          <w:i w:val="false"/>
          <w:color w:val="000000"/>
        </w:rPr>
        <w:t xml:space="preserve"> Таблица обязательств доступного стабильного фондирования</w:t>
      </w:r>
    </w:p>
    <w:bookmarkEnd w:id="6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доступного стабильного фондирования, в процентах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Собственный капитал включается до вычетов, установленных пунктом 11 Нормативов (за исключением инструментов капитала второго уровня со сроком погашения менее 1 (одного)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инструменты капитала и обязательства с оставшимся сроком погашения 1 (один) год 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Стабильные депозиты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стабильные депозиты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с оставшимся сроком погашения менее 1 (одного) года, предоставленные нефинансовыми организациями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связанные с клиринговой, кастодиальной деятельностью, с деятельностью по управлению ликвидностью клиента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нефинансовых организаций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января 2026 года - 50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с оставшимся сроком погашения менее 1 (одного) года, предоставленные центральными правительствами иностранных государств, местными органами власти иностранных государств и международными финансовыми организациями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обязательств, включая вклады юридических лиц, с оставшимся сроком погашения более 6 (шести) месяцев и менее 1 (одного)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юридических лиц с оставшимся сроком погашения менее 6 (шести)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юридических лиц с возможностью безусловного досрочного изъятия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июня 2024 года по 31 декабря 2025 года – 50</w:t>
            </w:r>
          </w:p>
          <w:p>
            <w:pPr>
              <w:spacing w:after="20"/>
              <w:ind w:left="20"/>
              <w:jc w:val="both"/>
            </w:pPr>
            <w:r>
              <w:rPr>
                <w:rFonts w:ascii="Times New Roman"/>
                <w:b w:val="false"/>
                <w:i w:val="false"/>
                <w:color w:val="000000"/>
                <w:sz w:val="20"/>
              </w:rPr>
              <w:t>c 1 января 2026 года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обязательства, в том числе бессрочные обязательства (с установлением особого режима для отсроченных налоговых обязательств)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нетто стабильного фондирования по обязательствам по производным финансовым инструментам за вычетом активов по производным финансовым инструментам, в случае если размер обязательств превышает размер активов по производным финансовым инструментам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возникающие от покупки финансовых инструментов, иностранной валюты в день покупки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Приложение 4 утрачивает силу постановлением Правления Агентства РК по регулированию и развитию финансового рынка от 29.09.2025 </w:t>
      </w:r>
      <w:r>
        <w:rPr>
          <w:rFonts w:ascii="Times New Roman"/>
          <w:b w:val="false"/>
          <w:i w:val="false"/>
          <w:color w:val="ff0000"/>
          <w:sz w:val="28"/>
        </w:rPr>
        <w:t>№ 61</w:t>
      </w:r>
      <w:r>
        <w:rPr>
          <w:rFonts w:ascii="Times New Roman"/>
          <w:b w:val="false"/>
          <w:i w:val="false"/>
          <w:color w:val="ff0000"/>
          <w:sz w:val="28"/>
        </w:rPr>
        <w:t xml:space="preserve"> (вводится в действие с </w:t>
      </w:r>
      <w:r>
        <w:rPr>
          <w:rFonts w:ascii="Times New Roman"/>
          <w:b w:val="false"/>
          <w:i w:val="false"/>
          <w:color w:val="ff0000"/>
          <w:sz w:val="28"/>
        </w:rPr>
        <w:t>01.01.2026</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Перечню</w:t>
            </w:r>
            <w:r>
              <w:br/>
            </w:r>
            <w:r>
              <w:rPr>
                <w:rFonts w:ascii="Times New Roman"/>
                <w:b w:val="false"/>
                <w:i w:val="false"/>
                <w:color w:val="000000"/>
                <w:sz w:val="20"/>
              </w:rPr>
              <w:t>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вопросам регулирования</w:t>
            </w:r>
            <w:r>
              <w:br/>
            </w:r>
            <w:r>
              <w:rPr>
                <w:rFonts w:ascii="Times New Roman"/>
                <w:b w:val="false"/>
                <w:i w:val="false"/>
                <w:color w:val="000000"/>
                <w:sz w:val="20"/>
              </w:rPr>
              <w:t>банковской деятельности,</w:t>
            </w:r>
            <w:r>
              <w:br/>
            </w:r>
            <w:r>
              <w:rPr>
                <w:rFonts w:ascii="Times New Roman"/>
                <w:b w:val="false"/>
                <w:i w:val="false"/>
                <w:color w:val="000000"/>
                <w:sz w:val="20"/>
              </w:rPr>
              <w:t>в 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создания провизий</w:t>
            </w:r>
            <w:r>
              <w:br/>
            </w:r>
            <w:r>
              <w:rPr>
                <w:rFonts w:ascii="Times New Roman"/>
                <w:b w:val="false"/>
                <w:i w:val="false"/>
                <w:color w:val="000000"/>
                <w:sz w:val="20"/>
              </w:rPr>
              <w:t>(резервов) в соответствии</w:t>
            </w:r>
            <w:r>
              <w:br/>
            </w:r>
            <w:r>
              <w:rPr>
                <w:rFonts w:ascii="Times New Roman"/>
                <w:b w:val="false"/>
                <w:i w:val="false"/>
                <w:color w:val="000000"/>
                <w:sz w:val="20"/>
              </w:rPr>
              <w:t>с международными стандартами</w:t>
            </w:r>
            <w:r>
              <w:br/>
            </w:r>
            <w:r>
              <w:rPr>
                <w:rFonts w:ascii="Times New Roman"/>
                <w:b w:val="false"/>
                <w:i w:val="false"/>
                <w:color w:val="000000"/>
                <w:sz w:val="20"/>
              </w:rPr>
              <w:t>финансовой отчетности</w:t>
            </w:r>
            <w:r>
              <w:br/>
            </w:r>
            <w:r>
              <w:rPr>
                <w:rFonts w:ascii="Times New Roman"/>
                <w:b w:val="false"/>
                <w:i w:val="false"/>
                <w:color w:val="000000"/>
                <w:sz w:val="20"/>
              </w:rPr>
              <w:t>и требованиями законодательства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 бухгалтерском учете</w:t>
            </w:r>
            <w:r>
              <w:br/>
            </w:r>
            <w:r>
              <w:rPr>
                <w:rFonts w:ascii="Times New Roman"/>
                <w:b w:val="false"/>
                <w:i w:val="false"/>
                <w:color w:val="000000"/>
                <w:sz w:val="20"/>
              </w:rPr>
              <w:t>и финансовой отчетности</w:t>
            </w:r>
          </w:p>
        </w:tc>
      </w:tr>
    </w:tbl>
    <w:bookmarkStart w:name="z634" w:id="603"/>
    <w:p>
      <w:pPr>
        <w:spacing w:after="0"/>
        <w:ind w:left="0"/>
        <w:jc w:val="both"/>
      </w:pPr>
      <w:r>
        <w:rPr>
          <w:rFonts w:ascii="Times New Roman"/>
          <w:b w:val="false"/>
          <w:i w:val="false"/>
          <w:color w:val="000000"/>
          <w:sz w:val="28"/>
        </w:rPr>
        <w:t>
      Формула приведенной стоимости будущих денежных потоков</w:t>
      </w:r>
    </w:p>
    <w:bookmarkEnd w:id="60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63800" cy="102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463800" cy="102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bookmarkStart w:name="z636" w:id="604"/>
      <w:r>
        <w:rPr>
          <w:rFonts w:ascii="Times New Roman"/>
          <w:b w:val="false"/>
          <w:i w:val="false"/>
          <w:color w:val="000000"/>
          <w:sz w:val="28"/>
        </w:rPr>
        <w:t>
      где:</w:t>
      </w:r>
    </w:p>
    <w:bookmarkEnd w:id="604"/>
    <w:p>
      <w:pPr>
        <w:spacing w:after="0"/>
        <w:ind w:left="0"/>
        <w:jc w:val="both"/>
      </w:pPr>
      <w:r>
        <w:rPr>
          <w:rFonts w:ascii="Times New Roman"/>
          <w:b w:val="false"/>
          <w:i w:val="false"/>
          <w:color w:val="000000"/>
          <w:sz w:val="28"/>
        </w:rPr>
        <w:t>PV - приведенная стоимость будущих денежных потоков;</w:t>
      </w:r>
    </w:p>
    <w:p>
      <w:pPr>
        <w:spacing w:after="0"/>
        <w:ind w:left="0"/>
        <w:jc w:val="both"/>
      </w:pPr>
      <w:r>
        <w:rPr>
          <w:rFonts w:ascii="Times New Roman"/>
          <w:b w:val="false"/>
          <w:i w:val="false"/>
          <w:color w:val="000000"/>
          <w:sz w:val="28"/>
        </w:rPr>
        <w:t>СF - прогноз будущих денежных потоков;</w:t>
      </w:r>
    </w:p>
    <w:p>
      <w:pPr>
        <w:spacing w:after="0"/>
        <w:ind w:left="0"/>
        <w:jc w:val="both"/>
      </w:pPr>
      <w:r>
        <w:rPr>
          <w:rFonts w:ascii="Times New Roman"/>
          <w:b w:val="false"/>
          <w:i w:val="false"/>
          <w:color w:val="000000"/>
          <w:sz w:val="28"/>
        </w:rPr>
        <w:t>r - эффективная ставка процента;</w:t>
      </w:r>
    </w:p>
    <w:p>
      <w:pPr>
        <w:spacing w:after="0"/>
        <w:ind w:left="0"/>
        <w:jc w:val="both"/>
      </w:pPr>
      <w:r>
        <w:rPr>
          <w:rFonts w:ascii="Times New Roman"/>
          <w:b w:val="false"/>
          <w:i w:val="false"/>
          <w:color w:val="000000"/>
          <w:sz w:val="28"/>
        </w:rPr>
        <w:t>t - количество лет, в течение которых предполагаются денежные потоки по финансовому активу.</w:t>
      </w:r>
    </w:p>
    <w:bookmarkStart w:name="z637" w:id="605"/>
    <w:p>
      <w:pPr>
        <w:spacing w:after="0"/>
        <w:ind w:left="0"/>
        <w:jc w:val="both"/>
      </w:pPr>
      <w:r>
        <w:rPr>
          <w:rFonts w:ascii="Times New Roman"/>
          <w:b w:val="false"/>
          <w:i w:val="false"/>
          <w:color w:val="000000"/>
          <w:sz w:val="28"/>
        </w:rPr>
        <w:t>
      Формула чистой приведенной стоимости будущих денежных потоков</w:t>
      </w:r>
    </w:p>
    <w:bookmarkEnd w:id="60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188200" cy="111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188200" cy="111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bookmarkStart w:name="z639" w:id="606"/>
      <w:r>
        <w:rPr>
          <w:rFonts w:ascii="Times New Roman"/>
          <w:b w:val="false"/>
          <w:i w:val="false"/>
          <w:color w:val="000000"/>
          <w:sz w:val="28"/>
        </w:rPr>
        <w:t>
      где:</w:t>
      </w:r>
    </w:p>
    <w:bookmarkEnd w:id="606"/>
    <w:p>
      <w:pPr>
        <w:spacing w:after="0"/>
        <w:ind w:left="0"/>
        <w:jc w:val="both"/>
      </w:pPr>
    </w:p>
    <w:p>
      <w:pPr>
        <w:spacing w:after="0"/>
        <w:ind w:left="0"/>
        <w:jc w:val="both"/>
      </w:pPr>
      <w:r>
        <w:drawing>
          <wp:inline distT="0" distB="0" distL="0" distR="0">
            <wp:extent cx="469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699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плановый платеж по новому графику (погашение основного долга и вознаграждения, начиная с момента реструктуризации и до конца срока погашения займа);</w:t>
      </w:r>
      <w:r>
        <w:br/>
      </w:r>
    </w:p>
    <w:p>
      <w:pPr>
        <w:spacing w:after="0"/>
        <w:ind w:left="0"/>
        <w:jc w:val="both"/>
      </w:pPr>
      <w:r>
        <w:drawing>
          <wp:inline distT="0" distB="0" distL="0" distR="0">
            <wp:extent cx="4572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572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плановый платеж по старому графику (погашение основного долга и вознаграждения, начиная с момента реструктуризации и до конца срока погашения займа);</w:t>
      </w:r>
      <w:r>
        <w:br/>
      </w:r>
      <w:r>
        <w:rPr>
          <w:rFonts w:ascii="Times New Roman"/>
          <w:b w:val="false"/>
          <w:i w:val="false"/>
          <w:color w:val="000000"/>
          <w:sz w:val="28"/>
        </w:rPr>
        <w:t>r – эффективная годовая ставка процента, действовавшая до реструктуризации;</w:t>
      </w:r>
      <w:r>
        <w:br/>
      </w:r>
      <w:r>
        <w:rPr>
          <w:rFonts w:ascii="Times New Roman"/>
          <w:b w:val="false"/>
          <w:i w:val="false"/>
          <w:color w:val="000000"/>
          <w:sz w:val="28"/>
        </w:rPr>
        <w:t>t – количество месяцев с даты предоставления реструктуризации до даты предстоящего платежа по новому графику;</w:t>
      </w:r>
      <w:r>
        <w:br/>
      </w:r>
      <w:r>
        <w:rPr>
          <w:rFonts w:ascii="Times New Roman"/>
          <w:b w:val="false"/>
          <w:i w:val="false"/>
          <w:color w:val="000000"/>
          <w:sz w:val="28"/>
        </w:rPr>
        <w:t>i – количество месяцев с даты предоставления реструктуризации до даты предстоящего платежа по старому графику;</w:t>
      </w:r>
      <w:r>
        <w:br/>
      </w:r>
      <w:r>
        <w:rPr>
          <w:rFonts w:ascii="Times New Roman"/>
          <w:b w:val="false"/>
          <w:i w:val="false"/>
          <w:color w:val="000000"/>
          <w:sz w:val="28"/>
        </w:rPr>
        <w:t>n – оставшийся срок окончания займа в месяцах по новому графику;</w:t>
      </w:r>
      <w:r>
        <w:br/>
      </w:r>
      <w:r>
        <w:rPr>
          <w:rFonts w:ascii="Times New Roman"/>
          <w:b w:val="false"/>
          <w:i w:val="false"/>
          <w:color w:val="000000"/>
          <w:sz w:val="28"/>
        </w:rPr>
        <w:t>m – оставшийся срок окончания займа в месяцах по старому графику.</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