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6618" w14:textId="0f16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финансов Республики Казахстан от 20 июня 2023 года № 686 "Об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июня 2024 года № 366. Зарегистрирован в Министерстве юстиции Республики Казахстан 18 июня 2024 года № 34513. Утратил силу приказом Министра финансов РК от 07.10.2024 № 671.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07.10.2024 </w:t>
      </w:r>
      <w:r>
        <w:rPr>
          <w:rFonts w:ascii="Times New Roman"/>
          <w:b w:val="false"/>
          <w:i w:val="false"/>
          <w:color w:val="ff0000"/>
          <w:sz w:val="28"/>
        </w:rPr>
        <w:t>№ 671</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20 июня 2023 года № 686 "Об утверждении Правил осуществления государственных закупок с применением особого порядка" (зарегистрирован в Реестре государственной регистрации нормативных правовых актов под № 32868)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с применением особого порядка,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"18. Членами комиссии являются председатель и другие члены комиссии. Общее количество членов комиссии составляет нечетное число, но не менее трех человек.</w:t>
      </w:r>
    </w:p>
    <w:bookmarkEnd w:id="3"/>
    <w:bookmarkStart w:name="z9" w:id="4"/>
    <w:p>
      <w:pPr>
        <w:spacing w:after="0"/>
        <w:ind w:left="0"/>
        <w:jc w:val="both"/>
      </w:pPr>
      <w:r>
        <w:rPr>
          <w:rFonts w:ascii="Times New Roman"/>
          <w:b w:val="false"/>
          <w:i w:val="false"/>
          <w:color w:val="000000"/>
          <w:sz w:val="28"/>
        </w:rPr>
        <w:t>
      Председателем комиссии определяется должностное лицо не ниже заместителя первого руководителя организатора. Когда организатором выступает непосредственно сам заказчик, председателем комиссии определяется должностное лицо не ниже заместителя первого руководителя заказчика. Когда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комиссии определяется должностное лицо не ниже руководителя данного структурного подразделения заказчика.";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"23. Список потенциальных поставщиков, в адрес которых будет направлено (представлено) извещение, формируется организатором с учетом:</w:t>
      </w:r>
    </w:p>
    <w:bookmarkEnd w:id="5"/>
    <w:bookmarkStart w:name="z12" w:id="6"/>
    <w:p>
      <w:pPr>
        <w:spacing w:after="0"/>
        <w:ind w:left="0"/>
        <w:jc w:val="both"/>
      </w:pPr>
      <w:r>
        <w:rPr>
          <w:rFonts w:ascii="Times New Roman"/>
          <w:b w:val="false"/>
          <w:i w:val="false"/>
          <w:color w:val="000000"/>
          <w:sz w:val="28"/>
        </w:rPr>
        <w:t>
      1) разрешения,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Копия разрешения представляется организатору нарочно на бумажном носителе, до окончания времени даты приема ходатайств о включении в список потенциальных поставщиков.</w:t>
      </w:r>
    </w:p>
    <w:bookmarkEnd w:id="6"/>
    <w:bookmarkStart w:name="z13" w:id="7"/>
    <w:p>
      <w:pPr>
        <w:spacing w:after="0"/>
        <w:ind w:left="0"/>
        <w:jc w:val="both"/>
      </w:pPr>
      <w:r>
        <w:rPr>
          <w:rFonts w:ascii="Times New Roman"/>
          <w:b w:val="false"/>
          <w:i w:val="false"/>
          <w:color w:val="000000"/>
          <w:sz w:val="28"/>
        </w:rPr>
        <w:t>
      При этом,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bookmarkEnd w:id="7"/>
    <w:bookmarkStart w:name="z14" w:id="8"/>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8"/>
    <w:bookmarkStart w:name="z15" w:id="9"/>
    <w:p>
      <w:pPr>
        <w:spacing w:after="0"/>
        <w:ind w:left="0"/>
        <w:jc w:val="both"/>
      </w:pPr>
      <w:r>
        <w:rPr>
          <w:rFonts w:ascii="Times New Roman"/>
          <w:b w:val="false"/>
          <w:i w:val="false"/>
          <w:color w:val="000000"/>
          <w:sz w:val="28"/>
        </w:rPr>
        <w:t>
      3) наличия соответствующей регистрации на веб-портале;</w:t>
      </w:r>
    </w:p>
    <w:bookmarkEnd w:id="9"/>
    <w:bookmarkStart w:name="z16" w:id="10"/>
    <w:p>
      <w:pPr>
        <w:spacing w:after="0"/>
        <w:ind w:left="0"/>
        <w:jc w:val="both"/>
      </w:pPr>
      <w:r>
        <w:rPr>
          <w:rFonts w:ascii="Times New Roman"/>
          <w:b w:val="false"/>
          <w:i w:val="false"/>
          <w:color w:val="000000"/>
          <w:sz w:val="28"/>
        </w:rPr>
        <w:t xml:space="preserve">
      4) обязательства о неразглашении служебной информации ограниченного распространения согласно </w:t>
      </w:r>
      <w:r>
        <w:rPr>
          <w:rFonts w:ascii="Times New Roman"/>
          <w:b w:val="false"/>
          <w:i w:val="false"/>
          <w:color w:val="000000"/>
          <w:sz w:val="28"/>
        </w:rPr>
        <w:t>приложению 8</w:t>
      </w:r>
      <w:r>
        <w:rPr>
          <w:rFonts w:ascii="Times New Roman"/>
          <w:b w:val="false"/>
          <w:i w:val="false"/>
          <w:color w:val="000000"/>
          <w:sz w:val="28"/>
        </w:rPr>
        <w:t xml:space="preserve">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bookmarkEnd w:id="10"/>
    <w:bookmarkStart w:name="z17" w:id="11"/>
    <w:p>
      <w:pPr>
        <w:spacing w:after="0"/>
        <w:ind w:left="0"/>
        <w:jc w:val="both"/>
      </w:pPr>
      <w:r>
        <w:rPr>
          <w:rFonts w:ascii="Times New Roman"/>
          <w:b w:val="false"/>
          <w:i w:val="false"/>
          <w:color w:val="000000"/>
          <w:sz w:val="28"/>
        </w:rPr>
        <w:t>
      Обязательство представляется посредством веб-портала вместе с ходатайством о включении в список потенциальных поставщиков;</w:t>
      </w:r>
    </w:p>
    <w:bookmarkEnd w:id="11"/>
    <w:bookmarkStart w:name="z18" w:id="12"/>
    <w:p>
      <w:pPr>
        <w:spacing w:after="0"/>
        <w:ind w:left="0"/>
        <w:jc w:val="both"/>
      </w:pPr>
      <w:r>
        <w:rPr>
          <w:rFonts w:ascii="Times New Roman"/>
          <w:b w:val="false"/>
          <w:i w:val="false"/>
          <w:color w:val="000000"/>
          <w:sz w:val="28"/>
        </w:rPr>
        <w:t>
      5) разрешения (уведомления), выданного в соответствии с законодательством Республики Казахстан о разрешениях и уведомлениях, в случаях, когда государственные закупки товаров, работ, услуг требуют наличия соответствующего разрешения (уведомления). Копия разрешения (уведомлений) представляется посредством веб-портала вместе с ходатайством о включении в список потенциальных поставщиков, если отсутствуют сведений о них в государственной информационной системе;</w:t>
      </w:r>
    </w:p>
    <w:bookmarkEnd w:id="12"/>
    <w:bookmarkStart w:name="z19" w:id="13"/>
    <w:p>
      <w:pPr>
        <w:spacing w:after="0"/>
        <w:ind w:left="0"/>
        <w:jc w:val="both"/>
      </w:pPr>
      <w:r>
        <w:rPr>
          <w:rFonts w:ascii="Times New Roman"/>
          <w:b w:val="false"/>
          <w:i w:val="false"/>
          <w:color w:val="000000"/>
          <w:sz w:val="28"/>
        </w:rPr>
        <w:t xml:space="preserve">
      6) при проведении государственных закупок товаров, в соответствии с пунктом 24 настоящих Правил список потенциальных поставщиков формируется из числа потенциальных поставщиков, состоящих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bookmarkEnd w:id="13"/>
    <w:bookmarkStart w:name="z20" w:id="14"/>
    <w:p>
      <w:pPr>
        <w:spacing w:after="0"/>
        <w:ind w:left="0"/>
        <w:jc w:val="both"/>
      </w:pPr>
      <w:r>
        <w:rPr>
          <w:rFonts w:ascii="Times New Roman"/>
          <w:b w:val="false"/>
          <w:i w:val="false"/>
          <w:color w:val="000000"/>
          <w:sz w:val="28"/>
        </w:rPr>
        <w:t>
      7) при приобретении продовольственных товаров и услуг по организации питания список потенциальных поставщиков формируется из числа отечественных товаропроизводителей и/или отечественных предпринимателей.";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"89. Эксперт либо экспертная комиссия в сроки, установленные председателем конкурсной комиссией, но не позднее срока рассмотрения заявок на участие в конкурсе.";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"109. При равенстве цен конкурсных ценовых предложений нескольких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16"/>
    <w:bookmarkStart w:name="z25" w:id="17"/>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 при этом:</w:t>
      </w:r>
    </w:p>
    <w:bookmarkEnd w:id="17"/>
    <w:bookmarkStart w:name="z26" w:id="18"/>
    <w:p>
      <w:pPr>
        <w:spacing w:after="0"/>
        <w:ind w:left="0"/>
        <w:jc w:val="both"/>
      </w:pPr>
      <w:r>
        <w:rPr>
          <w:rFonts w:ascii="Times New Roman"/>
          <w:b w:val="false"/>
          <w:i w:val="false"/>
          <w:color w:val="000000"/>
          <w:sz w:val="28"/>
        </w:rPr>
        <w:t>
      если предметом конкурса является строительство новых объектов, учитывается опыт работы только строительства новых объектов;</w:t>
      </w:r>
    </w:p>
    <w:bookmarkEnd w:id="18"/>
    <w:bookmarkStart w:name="z27" w:id="19"/>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19"/>
    <w:bookmarkStart w:name="z28" w:id="20"/>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20"/>
    <w:bookmarkStart w:name="z29" w:id="21"/>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ходатайство о включении в список потенциальных поставщиков которого подано на веб-портале ранее других потенциальных поставщиков.</w:t>
      </w:r>
    </w:p>
    <w:bookmarkEnd w:id="21"/>
    <w:bookmarkStart w:name="z30" w:id="22"/>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 закупкам, где список потенциальных поставщиков, в адрес которых направлялись извещения, был дополнен заказчиком по основанию предусмотренному частью второй пункта 21 настоящих Правил, победителем признается участник конкурса, конкурсное ценовое предложение которого зарегистрировано в журнале регистрации заявок на участие в конкурсе ранее конкурсных ценовых предложений других потенциальных поставщиков.";</w:t>
      </w:r>
    </w:p>
    <w:bookmarkEnd w:id="22"/>
    <w:bookmarkStart w:name="z31" w:id="23"/>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131</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"152. По результатам мониторинга государственных закупок с применением особого порядка заказчик не позднее пятого числа, следующего за отчетным периодом, размещает на веб-портале ежеквартальный отчет о государственных закупках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за исключением государственных органов, осуществляющих разведывательную и контрразведывательную деятельность, их учреждений и подведомственных организаций.";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Типовой конкурсной документации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настоящему приказу.</w:t>
      </w:r>
    </w:p>
    <w:bookmarkStart w:name="z38" w:id="25"/>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5"/>
    <w:bookmarkStart w:name="z39"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40" w:id="2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27"/>
    <w:bookmarkStart w:name="z41" w:id="2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28"/>
    <w:bookmarkStart w:name="z42" w:id="2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44"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48" w:id="32"/>
    <w:p>
      <w:pPr>
        <w:spacing w:after="0"/>
        <w:ind w:left="0"/>
        <w:jc w:val="left"/>
      </w:pPr>
      <w:r>
        <w:rPr>
          <w:rFonts w:ascii="Times New Roman"/>
          <w:b/>
          <w:i w:val="false"/>
          <w:color w:val="000000"/>
        </w:rPr>
        <w:t xml:space="preserve"> Протокол рассмотрения ходатайств потенциальных поставщиков</w:t>
      </w:r>
    </w:p>
    <w:bookmarkEnd w:id="32"/>
    <w:p>
      <w:pPr>
        <w:spacing w:after="0"/>
        <w:ind w:left="0"/>
        <w:jc w:val="both"/>
      </w:pPr>
      <w:bookmarkStart w:name="z49" w:id="33"/>
      <w:r>
        <w:rPr>
          <w:rFonts w:ascii="Times New Roman"/>
          <w:b w:val="false"/>
          <w:i w:val="false"/>
          <w:color w:val="000000"/>
          <w:sz w:val="28"/>
        </w:rPr>
        <w:t>
      Наименование государственной закупки ______________________________________</w:t>
      </w:r>
    </w:p>
    <w:bookmarkEnd w:id="33"/>
    <w:p>
      <w:pPr>
        <w:spacing w:after="0"/>
        <w:ind w:left="0"/>
        <w:jc w:val="both"/>
      </w:pPr>
      <w:r>
        <w:rPr>
          <w:rFonts w:ascii="Times New Roman"/>
          <w:b w:val="false"/>
          <w:i w:val="false"/>
          <w:color w:val="000000"/>
          <w:sz w:val="28"/>
        </w:rPr>
        <w:t>(название конкурса)</w:t>
      </w:r>
    </w:p>
    <w:p>
      <w:pPr>
        <w:spacing w:after="0"/>
        <w:ind w:left="0"/>
        <w:jc w:val="both"/>
      </w:pPr>
      <w:r>
        <w:rPr>
          <w:rFonts w:ascii="Times New Roman"/>
          <w:b w:val="false"/>
          <w:i w:val="false"/>
          <w:color w:val="000000"/>
          <w:sz w:val="28"/>
        </w:rPr>
        <w:t>Наименование организатора государственной закупки</w:t>
      </w:r>
    </w:p>
    <w:p>
      <w:pPr>
        <w:spacing w:after="0"/>
        <w:ind w:left="0"/>
        <w:jc w:val="both"/>
      </w:pPr>
      <w:r>
        <w:rPr>
          <w:rFonts w:ascii="Times New Roman"/>
          <w:b w:val="false"/>
          <w:i w:val="false"/>
          <w:color w:val="000000"/>
          <w:sz w:val="28"/>
        </w:rPr>
        <w:t>Наименование заказчика государственной закупки _____________________________</w:t>
      </w:r>
    </w:p>
    <w:p>
      <w:pPr>
        <w:spacing w:after="0"/>
        <w:ind w:left="0"/>
        <w:jc w:val="both"/>
      </w:pPr>
      <w:r>
        <w:rPr>
          <w:rFonts w:ascii="Times New Roman"/>
          <w:b w:val="false"/>
          <w:i w:val="false"/>
          <w:color w:val="000000"/>
          <w:sz w:val="28"/>
        </w:rPr>
        <w:t>1. Список потенциальных поставщиков, представивших ходатайства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ходатайства</w:t>
            </w:r>
          </w:p>
        </w:tc>
      </w:tr>
    </w:tbl>
    <w:bookmarkStart w:name="z50" w:id="34"/>
    <w:p>
      <w:pPr>
        <w:spacing w:after="0"/>
        <w:ind w:left="0"/>
        <w:jc w:val="both"/>
      </w:pPr>
      <w:r>
        <w:rPr>
          <w:rFonts w:ascii="Times New Roman"/>
          <w:b w:val="false"/>
          <w:i w:val="false"/>
          <w:color w:val="000000"/>
          <w:sz w:val="28"/>
        </w:rPr>
        <w:t>
      2. Список потенциальных поставщиков, ходатайства которых отклонены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bl>
    <w:bookmarkStart w:name="z51" w:id="35"/>
    <w:p>
      <w:pPr>
        <w:spacing w:after="0"/>
        <w:ind w:left="0"/>
        <w:jc w:val="both"/>
      </w:pPr>
      <w:r>
        <w:rPr>
          <w:rFonts w:ascii="Times New Roman"/>
          <w:b w:val="false"/>
          <w:i w:val="false"/>
          <w:color w:val="000000"/>
          <w:sz w:val="28"/>
        </w:rPr>
        <w:t>
      3. Списки потенциальных поставщиков, которым будет направлено извещение о проводимых государственных закупках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контактный номер телефона</w:t>
            </w:r>
          </w:p>
        </w:tc>
      </w:tr>
    </w:tbl>
    <w:p>
      <w:pPr>
        <w:spacing w:after="0"/>
        <w:ind w:left="0"/>
        <w:jc w:val="both"/>
      </w:pPr>
      <w:bookmarkStart w:name="z52" w:id="36"/>
      <w:r>
        <w:rPr>
          <w:rFonts w:ascii="Times New Roman"/>
          <w:b w:val="false"/>
          <w:i w:val="false"/>
          <w:color w:val="000000"/>
          <w:sz w:val="28"/>
        </w:rPr>
        <w:t>
      Расшифровка аббревиатур:</w:t>
      </w:r>
    </w:p>
    <w:bookmarkEnd w:id="3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w:t>
            </w:r>
          </w:p>
        </w:tc>
      </w:tr>
    </w:tbl>
    <w:bookmarkStart w:name="z55" w:id="37"/>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(заполняется потенциальным поставщиком при закупках услуг)</w:t>
      </w:r>
    </w:p>
    <w:bookmarkEnd w:id="37"/>
    <w:p>
      <w:pPr>
        <w:spacing w:after="0"/>
        <w:ind w:left="0"/>
        <w:jc w:val="both"/>
      </w:pPr>
      <w:bookmarkStart w:name="z56" w:id="38"/>
      <w:r>
        <w:rPr>
          <w:rFonts w:ascii="Times New Roman"/>
          <w:b w:val="false"/>
          <w:i w:val="false"/>
          <w:color w:val="000000"/>
          <w:sz w:val="28"/>
        </w:rPr>
        <w:t>
      № конкурса ______________________________________________________________</w:t>
      </w:r>
    </w:p>
    <w:bookmarkEnd w:id="38"/>
    <w:p>
      <w:pPr>
        <w:spacing w:after="0"/>
        <w:ind w:left="0"/>
        <w:jc w:val="both"/>
      </w:pPr>
      <w:r>
        <w:rPr>
          <w:rFonts w:ascii="Times New Roman"/>
          <w:b w:val="false"/>
          <w:i w:val="false"/>
          <w:color w:val="000000"/>
          <w:sz w:val="28"/>
        </w:rPr>
        <w:t>Наименование конкурса ___________________________________________________</w:t>
      </w:r>
    </w:p>
    <w:p>
      <w:pPr>
        <w:spacing w:after="0"/>
        <w:ind w:left="0"/>
        <w:jc w:val="both"/>
      </w:pPr>
      <w:r>
        <w:rPr>
          <w:rFonts w:ascii="Times New Roman"/>
          <w:b w:val="false"/>
          <w:i w:val="false"/>
          <w:color w:val="000000"/>
          <w:sz w:val="28"/>
        </w:rPr>
        <w:t>№ лота __________________________________________________________________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_______________________________________________________</w:t>
      </w:r>
    </w:p>
    <w:p>
      <w:pPr>
        <w:spacing w:after="0"/>
        <w:ind w:left="0"/>
        <w:jc w:val="both"/>
      </w:pPr>
      <w:bookmarkStart w:name="z57" w:id="39"/>
      <w:r>
        <w:rPr>
          <w:rFonts w:ascii="Times New Roman"/>
          <w:b w:val="false"/>
          <w:i w:val="false"/>
          <w:color w:val="000000"/>
          <w:sz w:val="28"/>
        </w:rPr>
        <w:t>
      1. Общие сведения о потенциальном поставщике:</w:t>
      </w:r>
    </w:p>
    <w:bookmarkEnd w:id="39"/>
    <w:p>
      <w:pPr>
        <w:spacing w:after="0"/>
        <w:ind w:left="0"/>
        <w:jc w:val="both"/>
      </w:pPr>
      <w:r>
        <w:rPr>
          <w:rFonts w:ascii="Times New Roman"/>
          <w:b w:val="false"/>
          <w:i w:val="false"/>
          <w:color w:val="000000"/>
          <w:sz w:val="28"/>
        </w:rPr>
        <w:t>Наименование _____________________________</w:t>
      </w:r>
    </w:p>
    <w:p>
      <w:pPr>
        <w:spacing w:after="0"/>
        <w:ind w:left="0"/>
        <w:jc w:val="both"/>
      </w:pPr>
      <w:r>
        <w:rPr>
          <w:rFonts w:ascii="Times New Roman"/>
          <w:b w:val="false"/>
          <w:i w:val="false"/>
          <w:color w:val="000000"/>
          <w:sz w:val="28"/>
        </w:rPr>
        <w:t>БИН/ИИН/ИНН/УНП</w:t>
      </w:r>
    </w:p>
    <w:p>
      <w:pPr>
        <w:spacing w:after="0"/>
        <w:ind w:left="0"/>
        <w:jc w:val="both"/>
      </w:pPr>
      <w:bookmarkStart w:name="z58" w:id="40"/>
      <w:r>
        <w:rPr>
          <w:rFonts w:ascii="Times New Roman"/>
          <w:b w:val="false"/>
          <w:i w:val="false"/>
          <w:color w:val="000000"/>
          <w:sz w:val="28"/>
        </w:rPr>
        <w:t>
      2. Объем оказанных потенциальным поставщиком услуг в течение последних</w:t>
      </w:r>
    </w:p>
    <w:bookmarkEnd w:id="40"/>
    <w:p>
      <w:pPr>
        <w:spacing w:after="0"/>
        <w:ind w:left="0"/>
        <w:jc w:val="both"/>
      </w:pPr>
      <w:r>
        <w:rPr>
          <w:rFonts w:ascii="Times New Roman"/>
          <w:b w:val="false"/>
          <w:i w:val="false"/>
          <w:color w:val="000000"/>
          <w:sz w:val="28"/>
        </w:rPr>
        <w:t>10 (десяти) лет, аналогичных (схожих) закупаемым на конкурсе, с приложением</w:t>
      </w:r>
    </w:p>
    <w:p>
      <w:pPr>
        <w:spacing w:after="0"/>
        <w:ind w:left="0"/>
        <w:jc w:val="both"/>
      </w:pPr>
      <w:r>
        <w:rPr>
          <w:rFonts w:ascii="Times New Roman"/>
          <w:b w:val="false"/>
          <w:i w:val="false"/>
          <w:color w:val="000000"/>
          <w:sz w:val="28"/>
        </w:rPr>
        <w:t>копий подтверждающих документов (заполняется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bl>
    <w:bookmarkStart w:name="z59" w:id="41"/>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60" w:id="42"/>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работника (приложить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bl>
    <w:bookmarkStart w:name="z61" w:id="43"/>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62" w:id="44"/>
    <w:p>
      <w:pPr>
        <w:spacing w:after="0"/>
        <w:ind w:left="0"/>
        <w:jc w:val="both"/>
      </w:pPr>
      <w:r>
        <w:rPr>
          <w:rFonts w:ascii="Times New Roman"/>
          <w:b w:val="false"/>
          <w:i w:val="false"/>
          <w:color w:val="000000"/>
          <w:sz w:val="28"/>
        </w:rPr>
        <w:t>
      Примечание:</w:t>
      </w:r>
    </w:p>
    <w:bookmarkEnd w:id="44"/>
    <w:bookmarkStart w:name="z63" w:id="45"/>
    <w:p>
      <w:pPr>
        <w:spacing w:after="0"/>
        <w:ind w:left="0"/>
        <w:jc w:val="both"/>
      </w:pPr>
      <w:r>
        <w:rPr>
          <w:rFonts w:ascii="Times New Roman"/>
          <w:b w:val="false"/>
          <w:i w:val="false"/>
          <w:color w:val="000000"/>
          <w:sz w:val="28"/>
        </w:rPr>
        <w:t>
      1. Документами, подтверждающими опыт работы по договорам о государственных закупках являются копии актов оказанных услуг (акты выполненных работ) и счет-фактуры.</w:t>
      </w:r>
    </w:p>
    <w:bookmarkEnd w:id="45"/>
    <w:bookmarkStart w:name="z64" w:id="46"/>
    <w:p>
      <w:pPr>
        <w:spacing w:after="0"/>
        <w:ind w:left="0"/>
        <w:jc w:val="both"/>
      </w:pPr>
      <w:r>
        <w:rPr>
          <w:rFonts w:ascii="Times New Roman"/>
          <w:b w:val="false"/>
          <w:i w:val="false"/>
          <w:color w:val="000000"/>
          <w:sz w:val="28"/>
        </w:rPr>
        <w:t xml:space="preserve">
      При осуществлении государственных закупок услуг технического надзора документом, подтверждающим опыт работы, является акт приемки объекта в эксплуатацию по форме, утвержденной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46"/>
    <w:bookmarkStart w:name="z65" w:id="47"/>
    <w:p>
      <w:pPr>
        <w:spacing w:after="0"/>
        <w:ind w:left="0"/>
        <w:jc w:val="both"/>
      </w:pPr>
      <w:r>
        <w:rPr>
          <w:rFonts w:ascii="Times New Roman"/>
          <w:b w:val="false"/>
          <w:i w:val="false"/>
          <w:color w:val="000000"/>
          <w:sz w:val="28"/>
        </w:rPr>
        <w:t xml:space="preserve">
      При оказании услуг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документом, подтверждающим опыт работы является копия счет-фактуры.</w:t>
      </w:r>
    </w:p>
    <w:bookmarkEnd w:id="47"/>
    <w:bookmarkStart w:name="z66" w:id="48"/>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Когда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не представляется.</w:t>
      </w:r>
    </w:p>
    <w:bookmarkEnd w:id="48"/>
    <w:bookmarkStart w:name="z67" w:id="49"/>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49"/>
    <w:bookmarkStart w:name="z68" w:id="50"/>
    <w:p>
      <w:pPr>
        <w:spacing w:after="0"/>
        <w:ind w:left="0"/>
        <w:jc w:val="both"/>
      </w:pPr>
      <w:r>
        <w:rPr>
          <w:rFonts w:ascii="Times New Roman"/>
          <w:b w:val="false"/>
          <w:i w:val="false"/>
          <w:color w:val="000000"/>
          <w:sz w:val="28"/>
        </w:rPr>
        <w:t xml:space="preserve">
      4. При наличии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50"/>
    <w:bookmarkStart w:name="z69" w:id="51"/>
    <w:p>
      <w:pPr>
        <w:spacing w:after="0"/>
        <w:ind w:left="0"/>
        <w:jc w:val="both"/>
      </w:pPr>
      <w:r>
        <w:rPr>
          <w:rFonts w:ascii="Times New Roman"/>
          <w:b w:val="false"/>
          <w:i w:val="false"/>
          <w:color w:val="000000"/>
          <w:sz w:val="28"/>
        </w:rPr>
        <w:t>
      При этом стаж работника учитывается за последние 10 (десять) лет.</w:t>
      </w:r>
    </w:p>
    <w:bookmarkEnd w:id="51"/>
    <w:bookmarkStart w:name="z70" w:id="52"/>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52"/>
    <w:bookmarkStart w:name="z71" w:id="53"/>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53"/>
    <w:bookmarkStart w:name="z72" w:id="54"/>
    <w:p>
      <w:pPr>
        <w:spacing w:after="0"/>
        <w:ind w:left="0"/>
        <w:jc w:val="both"/>
      </w:pPr>
      <w:r>
        <w:rPr>
          <w:rFonts w:ascii="Times New Roman"/>
          <w:b w:val="false"/>
          <w:i w:val="false"/>
          <w:color w:val="000000"/>
          <w:sz w:val="28"/>
        </w:rPr>
        <w:t>
      Расшифровка аббревиатур:</w:t>
      </w:r>
    </w:p>
    <w:bookmarkEnd w:id="54"/>
    <w:bookmarkStart w:name="z73" w:id="55"/>
    <w:p>
      <w:pPr>
        <w:spacing w:after="0"/>
        <w:ind w:left="0"/>
        <w:jc w:val="both"/>
      </w:pPr>
      <w:r>
        <w:rPr>
          <w:rFonts w:ascii="Times New Roman"/>
          <w:b w:val="false"/>
          <w:i w:val="false"/>
          <w:color w:val="000000"/>
          <w:sz w:val="28"/>
        </w:rPr>
        <w:t>
      БИН – бизнес-идентификационный номер;</w:t>
      </w:r>
    </w:p>
    <w:bookmarkEnd w:id="55"/>
    <w:bookmarkStart w:name="z74" w:id="56"/>
    <w:p>
      <w:pPr>
        <w:spacing w:after="0"/>
        <w:ind w:left="0"/>
        <w:jc w:val="both"/>
      </w:pPr>
      <w:r>
        <w:rPr>
          <w:rFonts w:ascii="Times New Roman"/>
          <w:b w:val="false"/>
          <w:i w:val="false"/>
          <w:color w:val="000000"/>
          <w:sz w:val="28"/>
        </w:rPr>
        <w:t>
      ИИН – индивидуальный идентификационный номер;</w:t>
      </w:r>
    </w:p>
    <w:bookmarkEnd w:id="56"/>
    <w:bookmarkStart w:name="z75" w:id="57"/>
    <w:p>
      <w:pPr>
        <w:spacing w:after="0"/>
        <w:ind w:left="0"/>
        <w:jc w:val="both"/>
      </w:pPr>
      <w:r>
        <w:rPr>
          <w:rFonts w:ascii="Times New Roman"/>
          <w:b w:val="false"/>
          <w:i w:val="false"/>
          <w:color w:val="000000"/>
          <w:sz w:val="28"/>
        </w:rPr>
        <w:t>
      ИНН – идентификационный номер налогоплательщика;</w:t>
      </w:r>
    </w:p>
    <w:bookmarkEnd w:id="57"/>
    <w:bookmarkStart w:name="z76" w:id="58"/>
    <w:p>
      <w:pPr>
        <w:spacing w:after="0"/>
        <w:ind w:left="0"/>
        <w:jc w:val="both"/>
      </w:pPr>
      <w:r>
        <w:rPr>
          <w:rFonts w:ascii="Times New Roman"/>
          <w:b w:val="false"/>
          <w:i w:val="false"/>
          <w:color w:val="000000"/>
          <w:sz w:val="28"/>
        </w:rPr>
        <w:t>
      УНП – учетный номер плательщика.</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79" w:id="59"/>
    <w:p>
      <w:pPr>
        <w:spacing w:after="0"/>
        <w:ind w:left="0"/>
        <w:jc w:val="left"/>
      </w:pPr>
      <w:r>
        <w:rPr>
          <w:rFonts w:ascii="Times New Roman"/>
          <w:b/>
          <w:i w:val="false"/>
          <w:color w:val="000000"/>
        </w:rPr>
        <w:t xml:space="preserve"> Критерии выбора поставщика услуг питания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(мясо говядины 1 категории, мясо птицы 1 категории (курица, индейка), колбаса полукопченая высшего сорта)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 один продукт – 1 балл</w:t>
            </w:r>
          </w:p>
          <w:p>
            <w:pPr>
              <w:spacing w:after="20"/>
              <w:ind w:left="20"/>
              <w:jc w:val="both"/>
            </w:pPr>
            <w:r>
              <w:rPr>
                <w:rFonts w:ascii="Times New Roman"/>
                <w:b w:val="false"/>
                <w:i w:val="false"/>
                <w:color w:val="000000"/>
                <w:sz w:val="20"/>
              </w:rPr>
              <w:t>- два вида продукта – 2 балла</w:t>
            </w:r>
          </w:p>
          <w:p>
            <w:pPr>
              <w:spacing w:after="20"/>
              <w:ind w:left="20"/>
              <w:jc w:val="both"/>
            </w:pPr>
            <w:r>
              <w:rPr>
                <w:rFonts w:ascii="Times New Roman"/>
                <w:b w:val="false"/>
                <w:i w:val="false"/>
                <w:color w:val="000000"/>
                <w:sz w:val="20"/>
              </w:rPr>
              <w:t xml:space="preserve">- три вида продукта – 3 балла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три вида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p>
            <w:pPr>
              <w:spacing w:after="20"/>
              <w:ind w:left="20"/>
              <w:jc w:val="both"/>
            </w:pPr>
            <w:r>
              <w:rPr>
                <w:rFonts w:ascii="Times New Roman"/>
                <w:b w:val="false"/>
                <w:i w:val="false"/>
                <w:color w:val="000000"/>
                <w:sz w:val="20"/>
              </w:rPr>
              <w:t>- три вида продукта – 1,5 балла</w:t>
            </w:r>
          </w:p>
          <w:p>
            <w:pPr>
              <w:spacing w:after="20"/>
              <w:ind w:left="20"/>
              <w:jc w:val="both"/>
            </w:pPr>
            <w:r>
              <w:rPr>
                <w:rFonts w:ascii="Times New Roman"/>
                <w:b w:val="false"/>
                <w:i w:val="false"/>
                <w:color w:val="000000"/>
                <w:sz w:val="20"/>
              </w:rPr>
              <w:t>- четыре вида продукта – 2 балла</w:t>
            </w:r>
          </w:p>
          <w:p>
            <w:pPr>
              <w:spacing w:after="20"/>
              <w:ind w:left="20"/>
              <w:jc w:val="both"/>
            </w:pPr>
            <w:r>
              <w:rPr>
                <w:rFonts w:ascii="Times New Roman"/>
                <w:b w:val="false"/>
                <w:i w:val="false"/>
                <w:color w:val="000000"/>
                <w:sz w:val="20"/>
              </w:rPr>
              <w:t>- пять видов продукта – 2,5 балла</w:t>
            </w:r>
          </w:p>
          <w:p>
            <w:pPr>
              <w:spacing w:after="20"/>
              <w:ind w:left="20"/>
              <w:jc w:val="both"/>
            </w:pPr>
            <w:r>
              <w:rPr>
                <w:rFonts w:ascii="Times New Roman"/>
                <w:b w:val="false"/>
                <w:i w:val="false"/>
                <w:color w:val="000000"/>
                <w:sz w:val="20"/>
              </w:rPr>
              <w:t>- шесть видов продукта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0,25 балла</w:t>
            </w:r>
          </w:p>
          <w:p>
            <w:pPr>
              <w:spacing w:after="20"/>
              <w:ind w:left="20"/>
              <w:jc w:val="both"/>
            </w:pPr>
            <w:r>
              <w:rPr>
                <w:rFonts w:ascii="Times New Roman"/>
                <w:b w:val="false"/>
                <w:i w:val="false"/>
                <w:color w:val="000000"/>
                <w:sz w:val="20"/>
              </w:rPr>
              <w:t>- два вида продукта – 0,5 балла</w:t>
            </w:r>
          </w:p>
          <w:p>
            <w:pPr>
              <w:spacing w:after="20"/>
              <w:ind w:left="20"/>
              <w:jc w:val="both"/>
            </w:pPr>
            <w:r>
              <w:rPr>
                <w:rFonts w:ascii="Times New Roman"/>
                <w:b w:val="false"/>
                <w:i w:val="false"/>
                <w:color w:val="000000"/>
                <w:sz w:val="20"/>
              </w:rPr>
              <w:t>- три вида продукта – 0,75 балла</w:t>
            </w:r>
          </w:p>
          <w:p>
            <w:pPr>
              <w:spacing w:after="20"/>
              <w:ind w:left="20"/>
              <w:jc w:val="both"/>
            </w:pPr>
            <w:r>
              <w:rPr>
                <w:rFonts w:ascii="Times New Roman"/>
                <w:b w:val="false"/>
                <w:i w:val="false"/>
                <w:color w:val="000000"/>
                <w:sz w:val="20"/>
              </w:rPr>
              <w:t>- четыре вида продукта – 1 балл</w:t>
            </w:r>
          </w:p>
          <w:p>
            <w:pPr>
              <w:spacing w:after="20"/>
              <w:ind w:left="20"/>
              <w:jc w:val="both"/>
            </w:pPr>
            <w:r>
              <w:rPr>
                <w:rFonts w:ascii="Times New Roman"/>
                <w:b w:val="false"/>
                <w:i w:val="false"/>
                <w:color w:val="000000"/>
                <w:sz w:val="20"/>
              </w:rPr>
              <w:t>- пять видов продукта – 1,25 балла</w:t>
            </w:r>
          </w:p>
          <w:p>
            <w:pPr>
              <w:spacing w:after="20"/>
              <w:ind w:left="20"/>
              <w:jc w:val="both"/>
            </w:pPr>
            <w:r>
              <w:rPr>
                <w:rFonts w:ascii="Times New Roman"/>
                <w:b w:val="false"/>
                <w:i w:val="false"/>
                <w:color w:val="000000"/>
                <w:sz w:val="20"/>
              </w:rPr>
              <w:t>- шесть видов продукта – 1,5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(хлеб пшеничный из муки 2 сорта, хлеб пшеничный из обогащенной муки 1 сорта)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w:t>
            </w:r>
          </w:p>
          <w:p>
            <w:pPr>
              <w:spacing w:after="20"/>
              <w:ind w:left="20"/>
              <w:jc w:val="both"/>
            </w:pPr>
            <w:r>
              <w:rPr>
                <w:rFonts w:ascii="Times New Roman"/>
                <w:b w:val="false"/>
                <w:i w:val="false"/>
                <w:color w:val="000000"/>
                <w:sz w:val="20"/>
              </w:rPr>
              <w:t>- один продукт – 1 балл</w:t>
            </w:r>
          </w:p>
          <w:p>
            <w:pPr>
              <w:spacing w:after="20"/>
              <w:ind w:left="20"/>
              <w:jc w:val="both"/>
            </w:pPr>
            <w:r>
              <w:rPr>
                <w:rFonts w:ascii="Times New Roman"/>
                <w:b w:val="false"/>
                <w:i w:val="false"/>
                <w:color w:val="000000"/>
                <w:sz w:val="20"/>
              </w:rPr>
              <w:t>- два вида продукта –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серийное производство товара (продуктов), применяемых в основной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арендуемое:</w:t>
            </w:r>
          </w:p>
          <w:p>
            <w:pPr>
              <w:spacing w:after="20"/>
              <w:ind w:left="20"/>
              <w:jc w:val="both"/>
            </w:pPr>
            <w:r>
              <w:rPr>
                <w:rFonts w:ascii="Times New Roman"/>
                <w:b w:val="false"/>
                <w:i w:val="false"/>
                <w:color w:val="000000"/>
                <w:sz w:val="20"/>
              </w:rPr>
              <w:t>- один продукт – 0,5 балла</w:t>
            </w:r>
          </w:p>
          <w:p>
            <w:pPr>
              <w:spacing w:after="20"/>
              <w:ind w:left="20"/>
              <w:jc w:val="both"/>
            </w:pPr>
            <w:r>
              <w:rPr>
                <w:rFonts w:ascii="Times New Roman"/>
                <w:b w:val="false"/>
                <w:i w:val="false"/>
                <w:color w:val="000000"/>
                <w:sz w:val="20"/>
              </w:rPr>
              <w:t>- два вида продукта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"Сертификат о происхождении товара форма CT – KZ". Выдан на партию товара (продуктов), применяемых в основной норме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балл за каждый год работы, но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акта оказанных услуг (за последний месяц исполнения данного договора за каждый год).</w:t>
            </w:r>
          </w:p>
          <w:p>
            <w:pPr>
              <w:spacing w:after="20"/>
              <w:ind w:left="20"/>
              <w:jc w:val="both"/>
            </w:pPr>
            <w:r>
              <w:rPr>
                <w:rFonts w:ascii="Times New Roman"/>
                <w:b w:val="false"/>
                <w:i w:val="false"/>
                <w:color w:val="000000"/>
                <w:sz w:val="20"/>
              </w:rPr>
              <w:t>2. Копия счет-фактуру (за последний месяц исполнения данного договора за каждый год)</w:t>
            </w:r>
          </w:p>
        </w:tc>
      </w:tr>
    </w:tbl>
    <w:p>
      <w:pPr>
        <w:spacing w:after="0"/>
        <w:ind w:left="0"/>
        <w:jc w:val="both"/>
      </w:pPr>
      <w:bookmarkStart w:name="z82" w:id="60"/>
      <w:r>
        <w:rPr>
          <w:rFonts w:ascii="Times New Roman"/>
          <w:b w:val="false"/>
          <w:i w:val="false"/>
          <w:color w:val="000000"/>
          <w:sz w:val="28"/>
        </w:rPr>
        <w:t>
      Примечание:</w:t>
      </w:r>
    </w:p>
    <w:bookmarkEnd w:id="60"/>
    <w:p>
      <w:pPr>
        <w:spacing w:after="0"/>
        <w:ind w:left="0"/>
        <w:jc w:val="both"/>
      </w:pPr>
      <w:r>
        <w:rPr>
          <w:rFonts w:ascii="Times New Roman"/>
          <w:b w:val="false"/>
          <w:i w:val="false"/>
          <w:color w:val="000000"/>
          <w:sz w:val="28"/>
        </w:rPr>
        <w:t>*Место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2024 года № 366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r>
              <w:br/>
            </w:r>
            <w:r>
              <w:rPr>
                <w:rFonts w:ascii="Times New Roman"/>
                <w:b w:val="false"/>
                <w:i w:val="false"/>
                <w:color w:val="000000"/>
                <w:sz w:val="20"/>
              </w:rPr>
              <w:t>с применением особого порядка</w:t>
            </w:r>
          </w:p>
        </w:tc>
      </w:tr>
    </w:tbl>
    <w:bookmarkStart w:name="z85" w:id="61"/>
    <w:p>
      <w:pPr>
        <w:spacing w:after="0"/>
        <w:ind w:left="0"/>
        <w:jc w:val="left"/>
      </w:pPr>
      <w:r>
        <w:rPr>
          <w:rFonts w:ascii="Times New Roman"/>
          <w:b/>
          <w:i w:val="false"/>
          <w:color w:val="000000"/>
        </w:rPr>
        <w:t xml:space="preserve"> Таблица баллов по критериям выбора поставщика участников конкурса</w:t>
      </w:r>
      <w:r>
        <w:br/>
      </w:r>
      <w:r>
        <w:rPr>
          <w:rFonts w:ascii="Times New Roman"/>
          <w:b/>
          <w:i w:val="false"/>
          <w:color w:val="000000"/>
        </w:rPr>
        <w:t>______________________________________________________________________</w:t>
      </w:r>
      <w:r>
        <w:br/>
      </w:r>
      <w:r>
        <w:rPr>
          <w:rFonts w:ascii="Times New Roman"/>
          <w:b/>
          <w:i w:val="false"/>
          <w:color w:val="000000"/>
        </w:rPr>
        <w:t>(наименование конкурса)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критериям Приложения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(мясо говядины 1 категории, мясо птицы 1 категории (курица, индейка), колбаса полукопченая высшего сорта)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(молоко коровье, жирность не менее 2,5 %, кефир, жирность не менее 2,5 %, сметана, жирность не менее 15 %, творог, жирность не менее 9 %, сыр сычужный твердый, масло коровье, доля животного жира не менее 72,5 %)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(хлеб пшеничный из муки 2 сорта, хлеб пшеничный из обогащенной муки 1 сорта) по месту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услуг по организации питания в течение последних 10 (десяти) лет</w:t>
            </w:r>
          </w:p>
        </w:tc>
      </w:tr>
    </w:tbl>
    <w:bookmarkStart w:name="z86" w:id="62"/>
    <w:p>
      <w:pPr>
        <w:spacing w:after="0"/>
        <w:ind w:left="0"/>
        <w:jc w:val="both"/>
      </w:pPr>
      <w:r>
        <w:rPr>
          <w:rFonts w:ascii="Times New Roman"/>
          <w:b w:val="false"/>
          <w:i w:val="false"/>
          <w:color w:val="000000"/>
          <w:sz w:val="28"/>
        </w:rPr>
        <w:t>
      Подписи председателя, членов и секретаря конкурсной комиссии.</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