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691c" w14:textId="4f36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и в постановление Правления Национального Банка Республики Казахстан от 28 ноября 2019 года № 215 "Об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июня 2024 года № 27. Зарегистрировано в Министерстве юстиции Республики Казахстан 12 июня 2024 года № 34486</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"90. Банк осуществляет расчет коэффициента долговой нагрузки заемщика до принятия решений о (об):</w:t>
      </w:r>
    </w:p>
    <w:bookmarkEnd w:id="3"/>
    <w:bookmarkStart w:name="z9" w:id="4"/>
    <w:p>
      <w:pPr>
        <w:spacing w:after="0"/>
        <w:ind w:left="0"/>
        <w:jc w:val="both"/>
      </w:pPr>
      <w:r>
        <w:rPr>
          <w:rFonts w:ascii="Times New Roman"/>
          <w:b w:val="false"/>
          <w:i w:val="false"/>
          <w:color w:val="000000"/>
          <w:sz w:val="28"/>
        </w:rPr>
        <w:t>
      выдаче заемщику займа, за исключением выдачи займа (части займа) в рамках открытой кредитной линии;</w:t>
      </w:r>
    </w:p>
    <w:bookmarkEnd w:id="4"/>
    <w:bookmarkStart w:name="z10" w:id="5"/>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5"/>
    <w:bookmarkStart w:name="z11" w:id="6"/>
    <w:p>
      <w:pPr>
        <w:spacing w:after="0"/>
        <w:ind w:left="0"/>
        <w:jc w:val="both"/>
      </w:pPr>
      <w:r>
        <w:rPr>
          <w:rFonts w:ascii="Times New Roman"/>
          <w:b w:val="false"/>
          <w:i w:val="false"/>
          <w:color w:val="000000"/>
          <w:sz w:val="28"/>
        </w:rPr>
        <w:t>
      выдаче заемщику дополнительного займа в рамках заключенного (заключенных) договора (договоров) банковского займа;</w:t>
      </w:r>
    </w:p>
    <w:bookmarkEnd w:id="6"/>
    <w:bookmarkStart w:name="z12" w:id="7"/>
    <w:p>
      <w:pPr>
        <w:spacing w:after="0"/>
        <w:ind w:left="0"/>
        <w:jc w:val="both"/>
      </w:pPr>
      <w:r>
        <w:rPr>
          <w:rFonts w:ascii="Times New Roman"/>
          <w:b w:val="false"/>
          <w:i w:val="false"/>
          <w:color w:val="000000"/>
          <w:sz w:val="28"/>
        </w:rPr>
        <w:t>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w:t>
      </w:r>
    </w:p>
    <w:bookmarkEnd w:id="7"/>
    <w:bookmarkStart w:name="z13" w:id="8"/>
    <w:p>
      <w:pPr>
        <w:spacing w:after="0"/>
        <w:ind w:left="0"/>
        <w:jc w:val="both"/>
      </w:pPr>
      <w:r>
        <w:rPr>
          <w:rFonts w:ascii="Times New Roman"/>
          <w:b w:val="false"/>
          <w:i w:val="false"/>
          <w:color w:val="000000"/>
          <w:sz w:val="28"/>
        </w:rPr>
        <w:t>
      Под кредитной линией понимается обязательство банка кредитовать заемщика на условиях, позволяющих заемщику самому определять время получения займа, но в пределах суммы и времени, определенных правилами о внутренней кредитной политике банка для такой формы кредитования и договором.</w:t>
      </w:r>
    </w:p>
    <w:bookmarkEnd w:id="8"/>
    <w:bookmarkStart w:name="z14" w:id="9"/>
    <w:p>
      <w:pPr>
        <w:spacing w:after="0"/>
        <w:ind w:left="0"/>
        <w:jc w:val="both"/>
      </w:pPr>
      <w:r>
        <w:rPr>
          <w:rFonts w:ascii="Times New Roman"/>
          <w:b w:val="false"/>
          <w:i w:val="false"/>
          <w:color w:val="000000"/>
          <w:sz w:val="28"/>
        </w:rPr>
        <w:t>
      Под кредитным лимитом (в том числе по кредитным/платежным картам) понимается предельная сумма кредитной линии.</w:t>
      </w:r>
    </w:p>
    <w:bookmarkEnd w:id="9"/>
    <w:bookmarkStart w:name="z15" w:id="10"/>
    <w:p>
      <w:pPr>
        <w:spacing w:after="0"/>
        <w:ind w:left="0"/>
        <w:jc w:val="both"/>
      </w:pPr>
      <w:r>
        <w:rPr>
          <w:rFonts w:ascii="Times New Roman"/>
          <w:b w:val="false"/>
          <w:i w:val="false"/>
          <w:color w:val="000000"/>
          <w:sz w:val="28"/>
        </w:rPr>
        <w:t>
      Под заемщиком понимается физическое лицо – резидент Республики Казахстан, намеревающееся воспользоваться или пользующееся услугами банка по осуществлению банковских заемных операций.</w:t>
      </w:r>
    </w:p>
    <w:bookmarkEnd w:id="10"/>
    <w:bookmarkStart w:name="z16" w:id="11"/>
    <w:p>
      <w:pPr>
        <w:spacing w:after="0"/>
        <w:ind w:left="0"/>
        <w:jc w:val="both"/>
      </w:pPr>
      <w:r>
        <w:rPr>
          <w:rFonts w:ascii="Times New Roman"/>
          <w:b w:val="false"/>
          <w:i w:val="false"/>
          <w:color w:val="000000"/>
          <w:sz w:val="28"/>
        </w:rPr>
        <w:t>
      Требования части первой настоящего пункта распространяются на займы, предоставленные заемщикам на приобретение товаров, работ и услуг, не связанных с осуществлением предпринимательской деятельности, за исключением займов, выдаваемых в рамках системы жилищных строительных сбережений.</w:t>
      </w:r>
    </w:p>
    <w:bookmarkEnd w:id="11"/>
    <w:bookmarkStart w:name="z17" w:id="12"/>
    <w:p>
      <w:pPr>
        <w:spacing w:after="0"/>
        <w:ind w:left="0"/>
        <w:jc w:val="both"/>
      </w:pPr>
      <w:r>
        <w:rPr>
          <w:rFonts w:ascii="Times New Roman"/>
          <w:b w:val="false"/>
          <w:i w:val="false"/>
          <w:color w:val="000000"/>
          <w:sz w:val="28"/>
        </w:rPr>
        <w:t>
      Расчет коэффициента долговой нагрузки не производится при предоставлении в период с 1 апреля 2024 года по 31 декабря 2024 года включительно займа для целей приобретения нового автотранспортного средства, обеспеченного залогом данного автотранспортного средства.";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"94. Коэффициент долговой нагрузки заемщика рассчитывается как отношение суммы ежемесячного платежа по всем непогашенным займам заемщика, включая суммы просроченных платежей по всем непогашенным займам, и среднего ежемесячного платежа по новой задолженности заемщика, возникающей в случаях, предусмотренных частью первой пункта 90 Нормативов, к среднему ежемесячному доходу заемщика за последние 6 (шесть) месяцев:</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961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961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где:</w:t>
      </w:r>
    </w:p>
    <w:bookmarkEnd w:id="14"/>
    <w:bookmarkStart w:name="z22" w:id="15"/>
    <w:p>
      <w:pPr>
        <w:spacing w:after="0"/>
        <w:ind w:left="0"/>
        <w:jc w:val="both"/>
      </w:pPr>
      <w:r>
        <w:rPr>
          <w:rFonts w:ascii="Times New Roman"/>
          <w:b w:val="false"/>
          <w:i w:val="false"/>
          <w:color w:val="000000"/>
          <w:sz w:val="28"/>
        </w:rPr>
        <w:t>
      КДН – коэффициент долговой нагрузки;</w:t>
      </w:r>
    </w:p>
    <w:bookmarkEnd w:id="15"/>
    <w:bookmarkStart w:name="z23" w:id="16"/>
    <w:p>
      <w:pPr>
        <w:spacing w:after="0"/>
        <w:ind w:left="0"/>
        <w:jc w:val="both"/>
      </w:pPr>
      <w:r>
        <w:rPr>
          <w:rFonts w:ascii="Times New Roman"/>
          <w:b w:val="false"/>
          <w:i w:val="false"/>
          <w:color w:val="000000"/>
          <w:sz w:val="28"/>
        </w:rPr>
        <w:t>
      ПНЗi – ежемесячный платеж по непогашенному займу (непогашенным займам) заемщика, который рассчитывается в соответствии с пунктом 95 Нормативов;</w:t>
      </w:r>
    </w:p>
    <w:bookmarkEnd w:id="16"/>
    <w:bookmarkStart w:name="z24" w:id="17"/>
    <w:p>
      <w:pPr>
        <w:spacing w:after="0"/>
        <w:ind w:left="0"/>
        <w:jc w:val="both"/>
      </w:pPr>
      <w:r>
        <w:rPr>
          <w:rFonts w:ascii="Times New Roman"/>
          <w:b w:val="false"/>
          <w:i w:val="false"/>
          <w:color w:val="000000"/>
          <w:sz w:val="28"/>
        </w:rPr>
        <w:t>
      ППi – сумма просроченных платежей по непогашенному займу (непогашенным займам) заемщика;</w:t>
      </w:r>
    </w:p>
    <w:bookmarkEnd w:id="17"/>
    <w:bookmarkStart w:name="z25" w:id="18"/>
    <w:p>
      <w:pPr>
        <w:spacing w:after="0"/>
        <w:ind w:left="0"/>
        <w:jc w:val="both"/>
      </w:pPr>
      <w:r>
        <w:rPr>
          <w:rFonts w:ascii="Times New Roman"/>
          <w:b w:val="false"/>
          <w:i w:val="false"/>
          <w:color w:val="000000"/>
          <w:sz w:val="28"/>
        </w:rPr>
        <w:t>
      ПЗ - средний ежемесячный платеж по новой задолженности заемщика, который рассчитывается в соответствии с пунктом 96 Нормативов;</w:t>
      </w:r>
    </w:p>
    <w:bookmarkEnd w:id="18"/>
    <w:bookmarkStart w:name="z26" w:id="19"/>
    <w:p>
      <w:pPr>
        <w:spacing w:after="0"/>
        <w:ind w:left="0"/>
        <w:jc w:val="both"/>
      </w:pPr>
      <w:r>
        <w:rPr>
          <w:rFonts w:ascii="Times New Roman"/>
          <w:b w:val="false"/>
          <w:i w:val="false"/>
          <w:color w:val="000000"/>
          <w:sz w:val="28"/>
        </w:rPr>
        <w:t>
      n – количество непогашенных займов заемщика;</w:t>
      </w:r>
    </w:p>
    <w:bookmarkEnd w:id="19"/>
    <w:bookmarkStart w:name="z27" w:id="20"/>
    <w:p>
      <w:pPr>
        <w:spacing w:after="0"/>
        <w:ind w:left="0"/>
        <w:jc w:val="both"/>
      </w:pPr>
      <w:r>
        <w:rPr>
          <w:rFonts w:ascii="Times New Roman"/>
          <w:b w:val="false"/>
          <w:i w:val="false"/>
          <w:color w:val="000000"/>
          <w:sz w:val="28"/>
        </w:rPr>
        <w:t>
      Д – средний ежемесячный доход заемщика, который рассчитывается в соответствии с пунктом 97 Нормативов.</w:t>
      </w:r>
    </w:p>
    <w:bookmarkEnd w:id="20"/>
    <w:bookmarkStart w:name="z28" w:id="21"/>
    <w:p>
      <w:pPr>
        <w:spacing w:after="0"/>
        <w:ind w:left="0"/>
        <w:jc w:val="both"/>
      </w:pPr>
      <w:r>
        <w:rPr>
          <w:rFonts w:ascii="Times New Roman"/>
          <w:b w:val="false"/>
          <w:i w:val="false"/>
          <w:color w:val="000000"/>
          <w:sz w:val="28"/>
        </w:rPr>
        <w:t>
      При расчете коэффициента долговой нагрузки заемщика по займам, обеспеченным залогом автотранспортного средства, размер ежемесячного платежа заемщика по займу определяется как отношение суммы задолженности к погашению (включающей сумму основного долга и начисляемого за весь период займа вознаграждения), уменьшенной на стоимость залога в виде автотранспорта, скорректированной на коэффициент ликвидности к стоимости обеспечения равного 0,7, на срок выдаваемого займа, выраженный в месяцах.</w:t>
      </w:r>
    </w:p>
    <w:bookmarkEnd w:id="21"/>
    <w:bookmarkStart w:name="z29" w:id="22"/>
    <w:p>
      <w:pPr>
        <w:spacing w:after="0"/>
        <w:ind w:left="0"/>
        <w:jc w:val="both"/>
      </w:pPr>
      <w:r>
        <w:rPr>
          <w:rFonts w:ascii="Times New Roman"/>
          <w:b w:val="false"/>
          <w:i w:val="false"/>
          <w:color w:val="000000"/>
          <w:sz w:val="28"/>
        </w:rPr>
        <w:t xml:space="preserve">
      Среднерыночная стоимость автотранспортного средства определяется на основании независимой оценки или оценки банка в соответствии с Международным стандартом финансовой отчетности № 13 "Оценка справедливой стоимости"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w:t>
      </w:r>
    </w:p>
    <w:bookmarkEnd w:id="22"/>
    <w:bookmarkStart w:name="z30" w:id="2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215 "Об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 (зарегистрировано в Реестре государственной регистрации нормативных правовых актов под № 19670) следующие изменения: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изложить в следующей редакции:</w:t>
      </w:r>
    </w:p>
    <w:bookmarkStart w:name="z32" w:id="24"/>
    <w:p>
      <w:pPr>
        <w:spacing w:after="0"/>
        <w:ind w:left="0"/>
        <w:jc w:val="both"/>
      </w:pPr>
      <w:r>
        <w:rPr>
          <w:rFonts w:ascii="Times New Roman"/>
          <w:b w:val="false"/>
          <w:i w:val="false"/>
          <w:color w:val="000000"/>
          <w:sz w:val="28"/>
        </w:rPr>
        <w:t>
      "3. Микрофинансовая организация осуществляет расчет коэффициента долговой нагрузки заемщика до принятия решения о (об):</w:t>
      </w:r>
    </w:p>
    <w:bookmarkEnd w:id="24"/>
    <w:bookmarkStart w:name="z33" w:id="25"/>
    <w:p>
      <w:pPr>
        <w:spacing w:after="0"/>
        <w:ind w:left="0"/>
        <w:jc w:val="both"/>
      </w:pPr>
      <w:r>
        <w:rPr>
          <w:rFonts w:ascii="Times New Roman"/>
          <w:b w:val="false"/>
          <w:i w:val="false"/>
          <w:color w:val="000000"/>
          <w:sz w:val="28"/>
        </w:rPr>
        <w:t>
      выдаче заемщику микрокредита, за исключением выдачи микрокредита (части микрокредита) в рамках открытой заемщику кредитной линии;</w:t>
      </w:r>
    </w:p>
    <w:bookmarkEnd w:id="25"/>
    <w:bookmarkStart w:name="z34" w:id="26"/>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26"/>
    <w:bookmarkStart w:name="z35" w:id="27"/>
    <w:p>
      <w:pPr>
        <w:spacing w:after="0"/>
        <w:ind w:left="0"/>
        <w:jc w:val="both"/>
      </w:pPr>
      <w:r>
        <w:rPr>
          <w:rFonts w:ascii="Times New Roman"/>
          <w:b w:val="false"/>
          <w:i w:val="false"/>
          <w:color w:val="000000"/>
          <w:sz w:val="28"/>
        </w:rPr>
        <w:t>
      выдаче заемщику дополнительного микрокредита в рамках заключенного (заключенных) договора (договоров) о предоставлении микрокредита;</w:t>
      </w:r>
    </w:p>
    <w:bookmarkEnd w:id="27"/>
    <w:bookmarkStart w:name="z36" w:id="28"/>
    <w:p>
      <w:pPr>
        <w:spacing w:after="0"/>
        <w:ind w:left="0"/>
        <w:jc w:val="both"/>
      </w:pPr>
      <w:r>
        <w:rPr>
          <w:rFonts w:ascii="Times New Roman"/>
          <w:b w:val="false"/>
          <w:i w:val="false"/>
          <w:color w:val="000000"/>
          <w:sz w:val="28"/>
        </w:rPr>
        <w:t>
      изменении условий открытой кредитной линии и (или) микрокредита заемщика, влекущем увеличение размера периодических платежей по данному микрокредиту, согласно графику погашения микрокредита.</w:t>
      </w:r>
    </w:p>
    <w:bookmarkEnd w:id="28"/>
    <w:bookmarkStart w:name="z37" w:id="29"/>
    <w:p>
      <w:pPr>
        <w:spacing w:after="0"/>
        <w:ind w:left="0"/>
        <w:jc w:val="both"/>
      </w:pPr>
      <w:r>
        <w:rPr>
          <w:rFonts w:ascii="Times New Roman"/>
          <w:b w:val="false"/>
          <w:i w:val="false"/>
          <w:color w:val="000000"/>
          <w:sz w:val="28"/>
        </w:rPr>
        <w:t>
      4. Требования пункта 3 Правил распространяются на микрокредиты, предоставленные заемщикам на приобретение товаров, работ и услуг, не связанных с осуществлением предпринимательской деятельности.</w:t>
      </w:r>
    </w:p>
    <w:bookmarkEnd w:id="29"/>
    <w:bookmarkStart w:name="z38" w:id="30"/>
    <w:p>
      <w:pPr>
        <w:spacing w:after="0"/>
        <w:ind w:left="0"/>
        <w:jc w:val="both"/>
      </w:pPr>
      <w:r>
        <w:rPr>
          <w:rFonts w:ascii="Times New Roman"/>
          <w:b w:val="false"/>
          <w:i w:val="false"/>
          <w:color w:val="000000"/>
          <w:sz w:val="28"/>
        </w:rPr>
        <w:t>
      Расчет коэффициента долговой нагрузки не производится при предоставлении в период с 1 апреля 2024 года по 31 декабря 2024 года включительно микрокредита для целей приобретения нового автотранспортного средства, обеспеченного залогом данного автотранспортного средства.";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40" w:id="31"/>
    <w:p>
      <w:pPr>
        <w:spacing w:after="0"/>
        <w:ind w:left="0"/>
        <w:jc w:val="both"/>
      </w:pPr>
      <w:r>
        <w:rPr>
          <w:rFonts w:ascii="Times New Roman"/>
          <w:b w:val="false"/>
          <w:i w:val="false"/>
          <w:color w:val="000000"/>
          <w:sz w:val="28"/>
        </w:rPr>
        <w:t>
      "6. Оценка платежеспособности заемщика осуществляется следующим образом:</w:t>
      </w:r>
    </w:p>
    <w:bookmarkEnd w:id="31"/>
    <w:bookmarkStart w:name="z41" w:id="32"/>
    <w:p>
      <w:pPr>
        <w:spacing w:after="0"/>
        <w:ind w:left="0"/>
        <w:jc w:val="both"/>
      </w:pPr>
      <w:r>
        <w:rPr>
          <w:rFonts w:ascii="Times New Roman"/>
          <w:b w:val="false"/>
          <w:i w:val="false"/>
          <w:color w:val="000000"/>
          <w:sz w:val="28"/>
        </w:rPr>
        <w:t>
      ДЗ ≥ ВПМ + 0,5 * ВПМ * Кнчс,</w:t>
      </w:r>
    </w:p>
    <w:bookmarkEnd w:id="32"/>
    <w:bookmarkStart w:name="z42" w:id="33"/>
    <w:p>
      <w:pPr>
        <w:spacing w:after="0"/>
        <w:ind w:left="0"/>
        <w:jc w:val="both"/>
      </w:pPr>
      <w:r>
        <w:rPr>
          <w:rFonts w:ascii="Times New Roman"/>
          <w:b w:val="false"/>
          <w:i w:val="false"/>
          <w:color w:val="000000"/>
          <w:sz w:val="28"/>
        </w:rPr>
        <w:t>
      где:</w:t>
      </w:r>
    </w:p>
    <w:bookmarkEnd w:id="33"/>
    <w:bookmarkStart w:name="z43" w:id="34"/>
    <w:p>
      <w:pPr>
        <w:spacing w:after="0"/>
        <w:ind w:left="0"/>
        <w:jc w:val="both"/>
      </w:pPr>
      <w:r>
        <w:rPr>
          <w:rFonts w:ascii="Times New Roman"/>
          <w:b w:val="false"/>
          <w:i w:val="false"/>
          <w:color w:val="000000"/>
          <w:sz w:val="28"/>
        </w:rPr>
        <w:t>
      ДЗ – доход заемщика;</w:t>
      </w:r>
    </w:p>
    <w:bookmarkEnd w:id="34"/>
    <w:bookmarkStart w:name="z44" w:id="35"/>
    <w:p>
      <w:pPr>
        <w:spacing w:after="0"/>
        <w:ind w:left="0"/>
        <w:jc w:val="both"/>
      </w:pPr>
      <w:r>
        <w:rPr>
          <w:rFonts w:ascii="Times New Roman"/>
          <w:b w:val="false"/>
          <w:i w:val="false"/>
          <w:color w:val="000000"/>
          <w:sz w:val="28"/>
        </w:rPr>
        <w:t>
      ВПМ – величина прожиточного минимума, установленная на соответствующий финансовый год Законом Республики Казахстан "О республиканском бюджете" (далее – Закон о бюджете);</w:t>
      </w:r>
    </w:p>
    <w:bookmarkEnd w:id="35"/>
    <w:bookmarkStart w:name="z45" w:id="36"/>
    <w:p>
      <w:pPr>
        <w:spacing w:after="0"/>
        <w:ind w:left="0"/>
        <w:jc w:val="both"/>
      </w:pPr>
      <w:r>
        <w:rPr>
          <w:rFonts w:ascii="Times New Roman"/>
          <w:b w:val="false"/>
          <w:i w:val="false"/>
          <w:color w:val="000000"/>
          <w:sz w:val="28"/>
        </w:rPr>
        <w:t>
      КНЧС – количество несовершеннолетних членов семьи.</w:t>
      </w:r>
    </w:p>
    <w:bookmarkEnd w:id="36"/>
    <w:bookmarkStart w:name="z46" w:id="37"/>
    <w:p>
      <w:pPr>
        <w:spacing w:after="0"/>
        <w:ind w:left="0"/>
        <w:jc w:val="both"/>
      </w:pPr>
      <w:r>
        <w:rPr>
          <w:rFonts w:ascii="Times New Roman"/>
          <w:b w:val="false"/>
          <w:i w:val="false"/>
          <w:color w:val="000000"/>
          <w:sz w:val="28"/>
        </w:rPr>
        <w:t>
      Доход заемщика определяется на основании одного и (или) нескольких из следующих критериев:</w:t>
      </w:r>
    </w:p>
    <w:bookmarkEnd w:id="37"/>
    <w:bookmarkStart w:name="z47" w:id="38"/>
    <w:p>
      <w:pPr>
        <w:spacing w:after="0"/>
        <w:ind w:left="0"/>
        <w:jc w:val="both"/>
      </w:pPr>
      <w:r>
        <w:rPr>
          <w:rFonts w:ascii="Times New Roman"/>
          <w:b w:val="false"/>
          <w:i w:val="false"/>
          <w:color w:val="000000"/>
          <w:sz w:val="28"/>
        </w:rPr>
        <w:t>
      1) официального дохода за 6 (шесть) месяцев, предшествующих дате обращения заемщика;</w:t>
      </w:r>
    </w:p>
    <w:bookmarkEnd w:id="38"/>
    <w:bookmarkStart w:name="z48" w:id="39"/>
    <w:p>
      <w:pPr>
        <w:spacing w:after="0"/>
        <w:ind w:left="0"/>
        <w:jc w:val="both"/>
      </w:pPr>
      <w:r>
        <w:rPr>
          <w:rFonts w:ascii="Times New Roman"/>
          <w:b w:val="false"/>
          <w:i w:val="false"/>
          <w:color w:val="000000"/>
          <w:sz w:val="28"/>
        </w:rPr>
        <w:t>
      2) среднемесячной суммы расходов по дебетовой карте за 6 (шесть) месяцев, предшествующих дате обращения заемщика;</w:t>
      </w:r>
    </w:p>
    <w:bookmarkEnd w:id="39"/>
    <w:bookmarkStart w:name="z49" w:id="40"/>
    <w:p>
      <w:pPr>
        <w:spacing w:after="0"/>
        <w:ind w:left="0"/>
        <w:jc w:val="both"/>
      </w:pPr>
      <w:r>
        <w:rPr>
          <w:rFonts w:ascii="Times New Roman"/>
          <w:b w:val="false"/>
          <w:i w:val="false"/>
          <w:color w:val="000000"/>
          <w:sz w:val="28"/>
        </w:rPr>
        <w:t>
      3) среднемесячной суммы пополнения дебетовой карты за 6 (шесть) месяцев, предшествующих дате обращения заемщика;</w:t>
      </w:r>
    </w:p>
    <w:bookmarkEnd w:id="40"/>
    <w:bookmarkStart w:name="z50" w:id="41"/>
    <w:p>
      <w:pPr>
        <w:spacing w:after="0"/>
        <w:ind w:left="0"/>
        <w:jc w:val="both"/>
      </w:pPr>
      <w:r>
        <w:rPr>
          <w:rFonts w:ascii="Times New Roman"/>
          <w:b w:val="false"/>
          <w:i w:val="false"/>
          <w:color w:val="000000"/>
          <w:sz w:val="28"/>
        </w:rPr>
        <w:t>
      4) отношения среднемесячной суммы остатков на депозите и (или) текущем счете за 6 (шесть) месяцев, предшествующих дате обращения заемщика, на срок выдаваемого кредита, выраженный в месяцах;</w:t>
      </w:r>
    </w:p>
    <w:bookmarkEnd w:id="41"/>
    <w:bookmarkStart w:name="z51" w:id="42"/>
    <w:p>
      <w:pPr>
        <w:spacing w:after="0"/>
        <w:ind w:left="0"/>
        <w:jc w:val="both"/>
      </w:pPr>
      <w:r>
        <w:rPr>
          <w:rFonts w:ascii="Times New Roman"/>
          <w:b w:val="false"/>
          <w:i w:val="false"/>
          <w:color w:val="000000"/>
          <w:sz w:val="28"/>
        </w:rPr>
        <w:t>
      5) среднемесячной суммы пополнений депозитов и (или) текущих счетов за 6 (шесть) месяцев, предшествующих дате обращения заемщика;</w:t>
      </w:r>
    </w:p>
    <w:bookmarkEnd w:id="42"/>
    <w:bookmarkStart w:name="z52" w:id="43"/>
    <w:p>
      <w:pPr>
        <w:spacing w:after="0"/>
        <w:ind w:left="0"/>
        <w:jc w:val="both"/>
      </w:pPr>
      <w:r>
        <w:rPr>
          <w:rFonts w:ascii="Times New Roman"/>
          <w:b w:val="false"/>
          <w:i w:val="false"/>
          <w:color w:val="000000"/>
          <w:sz w:val="28"/>
        </w:rPr>
        <w:t>
      6) среднемесячной суммы снятий с депозитов и (или) текущих счетов за 6 (шесть) месяцев, предшествующих дате обращения заемщика;</w:t>
      </w:r>
    </w:p>
    <w:bookmarkEnd w:id="43"/>
    <w:bookmarkStart w:name="z53" w:id="44"/>
    <w:p>
      <w:pPr>
        <w:spacing w:after="0"/>
        <w:ind w:left="0"/>
        <w:jc w:val="both"/>
      </w:pPr>
      <w:r>
        <w:rPr>
          <w:rFonts w:ascii="Times New Roman"/>
          <w:b w:val="false"/>
          <w:i w:val="false"/>
          <w:color w:val="000000"/>
          <w:sz w:val="28"/>
        </w:rPr>
        <w:t>
      7) дохода заемщика, определяемого как отношение среднего значения суммы ежемесячных платежей заемщика по погашенным и (или) непогашенным банковским займам и микрокредитам за последние 6 шесть последовательных календарных месяцев, предшествующих дате обращения заемщика, совершенных без просрочки, к максимально допустимому значению коэффициента долговой нагрузки (0,5);</w:t>
      </w:r>
    </w:p>
    <w:bookmarkEnd w:id="44"/>
    <w:bookmarkStart w:name="z54" w:id="45"/>
    <w:p>
      <w:pPr>
        <w:spacing w:after="0"/>
        <w:ind w:left="0"/>
        <w:jc w:val="both"/>
      </w:pPr>
      <w:r>
        <w:rPr>
          <w:rFonts w:ascii="Times New Roman"/>
          <w:b w:val="false"/>
          <w:i w:val="false"/>
          <w:color w:val="000000"/>
          <w:sz w:val="28"/>
        </w:rPr>
        <w:t>
      8) среднемесячного дохода от перевозок пассажиров и багажа такси за 6 (шесть) месяцев, предшествующих дате обращения заемщика (при подтверждении таких доходов через компанию посредника);</w:t>
      </w:r>
    </w:p>
    <w:bookmarkEnd w:id="45"/>
    <w:bookmarkStart w:name="z55" w:id="46"/>
    <w:p>
      <w:pPr>
        <w:spacing w:after="0"/>
        <w:ind w:left="0"/>
        <w:jc w:val="both"/>
      </w:pPr>
      <w:r>
        <w:rPr>
          <w:rFonts w:ascii="Times New Roman"/>
          <w:b w:val="false"/>
          <w:i w:val="false"/>
          <w:color w:val="000000"/>
          <w:sz w:val="28"/>
        </w:rPr>
        <w:t>
      9) наличия документа, подтверждающего оплату единого совокупного платежа за период 12 (двенадцать) месяцев, предшествующих дате обращения заемщика. Доход за каждый месяц принимается на уровне одного минимального размера заработной платы, установленного на соответствующий финансовый год Законом о бюджете;</w:t>
      </w:r>
    </w:p>
    <w:bookmarkEnd w:id="46"/>
    <w:bookmarkStart w:name="z56" w:id="47"/>
    <w:p>
      <w:pPr>
        <w:spacing w:after="0"/>
        <w:ind w:left="0"/>
        <w:jc w:val="both"/>
      </w:pPr>
      <w:r>
        <w:rPr>
          <w:rFonts w:ascii="Times New Roman"/>
          <w:b w:val="false"/>
          <w:i w:val="false"/>
          <w:color w:val="000000"/>
          <w:sz w:val="28"/>
        </w:rPr>
        <w:t>
      10) среднемесячного дохода за 6 (шесть)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bookmarkEnd w:id="47"/>
    <w:bookmarkStart w:name="z57" w:id="48"/>
    <w:p>
      <w:pPr>
        <w:spacing w:after="0"/>
        <w:ind w:left="0"/>
        <w:jc w:val="both"/>
      </w:pPr>
      <w:r>
        <w:rPr>
          <w:rFonts w:ascii="Times New Roman"/>
          <w:b w:val="false"/>
          <w:i w:val="false"/>
          <w:color w:val="000000"/>
          <w:sz w:val="28"/>
        </w:rPr>
        <w:t>
      Информация, указанная в подпунктах 1), 2), 3), 4), 5), 6), 7), 8), 9) и 10) части второй настоящего пункта, подтверждается заемщиком с предоставлением соответствующих документов и (или) запрашивается микрофинансовой организацией на основании согласия заемщика, данного в письменной форме либо посредством идентификационного средства заемщика.</w:t>
      </w:r>
    </w:p>
    <w:bookmarkEnd w:id="48"/>
    <w:bookmarkStart w:name="z58" w:id="49"/>
    <w:p>
      <w:pPr>
        <w:spacing w:after="0"/>
        <w:ind w:left="0"/>
        <w:jc w:val="both"/>
      </w:pPr>
      <w:r>
        <w:rPr>
          <w:rFonts w:ascii="Times New Roman"/>
          <w:b w:val="false"/>
          <w:i w:val="false"/>
          <w:color w:val="000000"/>
          <w:sz w:val="28"/>
        </w:rPr>
        <w:t>
      При определении дохода заемщика на основании критериев, указанных в подпунктах 1), 2), 3), 4), 5), 6) и 7) части второй настоящего пункта, применяется только один из указанных критериев.</w:t>
      </w:r>
    </w:p>
    <w:bookmarkEnd w:id="49"/>
    <w:bookmarkStart w:name="z59" w:id="50"/>
    <w:p>
      <w:pPr>
        <w:spacing w:after="0"/>
        <w:ind w:left="0"/>
        <w:jc w:val="both"/>
      </w:pPr>
      <w:r>
        <w:rPr>
          <w:rFonts w:ascii="Times New Roman"/>
          <w:b w:val="false"/>
          <w:i w:val="false"/>
          <w:color w:val="000000"/>
          <w:sz w:val="28"/>
        </w:rPr>
        <w:t>
      В отношении получателя адресной социальной помощи и (или) заемщика, имеющего признаки лица, активно вовлеченного в игорный бизнес, оценка дохода определяется на основании официального дохода, указанного в подпункте 1) части второй настоящего пункта.</w:t>
      </w:r>
    </w:p>
    <w:bookmarkEnd w:id="50"/>
    <w:bookmarkStart w:name="z60" w:id="51"/>
    <w:p>
      <w:pPr>
        <w:spacing w:after="0"/>
        <w:ind w:left="0"/>
        <w:jc w:val="both"/>
      </w:pPr>
      <w:r>
        <w:rPr>
          <w:rFonts w:ascii="Times New Roman"/>
          <w:b w:val="false"/>
          <w:i w:val="false"/>
          <w:color w:val="000000"/>
          <w:sz w:val="28"/>
        </w:rPr>
        <w:t>
      Для целей Правил под заемщиком, имеющим признаки лица, активно вовлеченного в игорный бизнес, понимается физическое лицо, совершившее за последние 6 (шесть) завершенных месяцев 6 (шесть) и более платежей в пользу организатора игорного бизнеса на общую сумму более 300 000 (триста тысяч) тенге.</w:t>
      </w:r>
    </w:p>
    <w:bookmarkEnd w:id="51"/>
    <w:bookmarkStart w:name="z61" w:id="52"/>
    <w:p>
      <w:pPr>
        <w:spacing w:after="0"/>
        <w:ind w:left="0"/>
        <w:jc w:val="both"/>
      </w:pPr>
      <w:r>
        <w:rPr>
          <w:rFonts w:ascii="Times New Roman"/>
          <w:b w:val="false"/>
          <w:i w:val="false"/>
          <w:color w:val="000000"/>
          <w:sz w:val="28"/>
        </w:rPr>
        <w:t>
      Информация о датах и суммах платежей, проведенных заемщиком в пользу организатора игорного бизнеса, определяется микрофинансовой организацией на основании кредитного отчета заемщика, полученного в кредитном бюро.</w:t>
      </w:r>
    </w:p>
    <w:bookmarkEnd w:id="52"/>
    <w:bookmarkStart w:name="z62" w:id="53"/>
    <w:p>
      <w:pPr>
        <w:spacing w:after="0"/>
        <w:ind w:left="0"/>
        <w:jc w:val="both"/>
      </w:pPr>
      <w:r>
        <w:rPr>
          <w:rFonts w:ascii="Times New Roman"/>
          <w:b w:val="false"/>
          <w:i w:val="false"/>
          <w:color w:val="000000"/>
          <w:sz w:val="28"/>
        </w:rPr>
        <w:t>
      В отношении заемщика, не достигшего двадцатиоднолетнего возраста, оценка дохода определяется на основании доходов, указанных в подпунктах 1), 8) и 10) части второй настоящего пункта.</w:t>
      </w:r>
    </w:p>
    <w:bookmarkEnd w:id="53"/>
    <w:bookmarkStart w:name="z63" w:id="54"/>
    <w:p>
      <w:pPr>
        <w:spacing w:after="0"/>
        <w:ind w:left="0"/>
        <w:jc w:val="both"/>
      </w:pPr>
      <w:r>
        <w:rPr>
          <w:rFonts w:ascii="Times New Roman"/>
          <w:b w:val="false"/>
          <w:i w:val="false"/>
          <w:color w:val="000000"/>
          <w:sz w:val="28"/>
        </w:rPr>
        <w:t>
      7. Коэффициент долговой нагрузки заемщика рассчитывается как отношение суммы ежемесячного платежа по всем непогашенным микрокредитам, банковским займам заемщика, включая суммы просроченных платежей по всем непогашенным микрокредитам, банковским займам заемщика и среднего ежемесячного платежа по новой задолженности заемщика, возникающей в случаях, предусмотренных пунктом 3 Правил, к среднему ежемесячному доходу заемщика за последние 6 (шесть) месяцев:</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231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где:</w:t>
      </w:r>
    </w:p>
    <w:bookmarkEnd w:id="55"/>
    <w:bookmarkStart w:name="z66" w:id="56"/>
    <w:p>
      <w:pPr>
        <w:spacing w:after="0"/>
        <w:ind w:left="0"/>
        <w:jc w:val="both"/>
      </w:pPr>
      <w:r>
        <w:rPr>
          <w:rFonts w:ascii="Times New Roman"/>
          <w:b w:val="false"/>
          <w:i w:val="false"/>
          <w:color w:val="000000"/>
          <w:sz w:val="28"/>
        </w:rPr>
        <w:t>
      КДН - коэффициент долговой нагрузки;</w:t>
      </w:r>
    </w:p>
    <w:bookmarkEnd w:id="56"/>
    <w:bookmarkStart w:name="z67" w:id="57"/>
    <w:p>
      <w:pPr>
        <w:spacing w:after="0"/>
        <w:ind w:left="0"/>
        <w:jc w:val="both"/>
      </w:pPr>
      <w:r>
        <w:rPr>
          <w:rFonts w:ascii="Times New Roman"/>
          <w:b w:val="false"/>
          <w:i w:val="false"/>
          <w:color w:val="000000"/>
          <w:sz w:val="28"/>
        </w:rPr>
        <w:t>
      ПНЗi - ежемесячный платеж по непогашенному микрокредиту, банковскому займу (непогашенным микрокредитам, банковским займам) заемщика, который рассчитывается в соответствии с пунктом 8 Правил;</w:t>
      </w:r>
    </w:p>
    <w:bookmarkEnd w:id="57"/>
    <w:bookmarkStart w:name="z68" w:id="58"/>
    <w:p>
      <w:pPr>
        <w:spacing w:after="0"/>
        <w:ind w:left="0"/>
        <w:jc w:val="both"/>
      </w:pPr>
      <w:r>
        <w:rPr>
          <w:rFonts w:ascii="Times New Roman"/>
          <w:b w:val="false"/>
          <w:i w:val="false"/>
          <w:color w:val="000000"/>
          <w:sz w:val="28"/>
        </w:rPr>
        <w:t>
      ППі - сумма просроченных платежей по непогашенному микрокредиту, банковскому займу (непогашенным микрокредитам, банковским займам) заемщика;</w:t>
      </w:r>
    </w:p>
    <w:bookmarkEnd w:id="58"/>
    <w:bookmarkStart w:name="z69" w:id="59"/>
    <w:p>
      <w:pPr>
        <w:spacing w:after="0"/>
        <w:ind w:left="0"/>
        <w:jc w:val="both"/>
      </w:pPr>
      <w:r>
        <w:rPr>
          <w:rFonts w:ascii="Times New Roman"/>
          <w:b w:val="false"/>
          <w:i w:val="false"/>
          <w:color w:val="000000"/>
          <w:sz w:val="28"/>
        </w:rPr>
        <w:t>
      ПЗ - средний ежемесячный платеж по новой задолженности заемщика, который рассчитывается в соответствии с пунктом 9 Правил;</w:t>
      </w:r>
    </w:p>
    <w:bookmarkEnd w:id="59"/>
    <w:bookmarkStart w:name="z70" w:id="60"/>
    <w:p>
      <w:pPr>
        <w:spacing w:after="0"/>
        <w:ind w:left="0"/>
        <w:jc w:val="both"/>
      </w:pPr>
      <w:r>
        <w:rPr>
          <w:rFonts w:ascii="Times New Roman"/>
          <w:b w:val="false"/>
          <w:i w:val="false"/>
          <w:color w:val="000000"/>
          <w:sz w:val="28"/>
        </w:rPr>
        <w:t>
      n - количество непогашенных микрокредитов, банковских займов заемщика;</w:t>
      </w:r>
    </w:p>
    <w:bookmarkEnd w:id="60"/>
    <w:bookmarkStart w:name="z71" w:id="61"/>
    <w:p>
      <w:pPr>
        <w:spacing w:after="0"/>
        <w:ind w:left="0"/>
        <w:jc w:val="both"/>
      </w:pPr>
      <w:r>
        <w:rPr>
          <w:rFonts w:ascii="Times New Roman"/>
          <w:b w:val="false"/>
          <w:i w:val="false"/>
          <w:color w:val="000000"/>
          <w:sz w:val="28"/>
        </w:rPr>
        <w:t>
      Д - средний ежемесячный доход заемщика, который рассчитывается в соответствии с пунктом 10 Правил.</w:t>
      </w:r>
    </w:p>
    <w:bookmarkEnd w:id="61"/>
    <w:bookmarkStart w:name="z72" w:id="62"/>
    <w:p>
      <w:pPr>
        <w:spacing w:after="0"/>
        <w:ind w:left="0"/>
        <w:jc w:val="both"/>
      </w:pPr>
      <w:r>
        <w:rPr>
          <w:rFonts w:ascii="Times New Roman"/>
          <w:b w:val="false"/>
          <w:i w:val="false"/>
          <w:color w:val="000000"/>
          <w:sz w:val="28"/>
        </w:rPr>
        <w:t>
      При расчете коэффициента долговой нагрузки заемщика по микрокредитам, обеспеченным залогом автотранспортного средства, размер ежемесячного платежа заемщика по микрокредиту определяется как отношение суммы задолженности к погашению (включающей сумму основного долга и начисляемого за весь период кредита вознаграждения), уменьшенной на стоимость залога в виде автотранспорта, скорректированной на коэффициент ликвидности к стоимости обеспечения равного 0,7, на срок выдаваемого микрокредита, выраженный в месяцах.</w:t>
      </w:r>
    </w:p>
    <w:bookmarkEnd w:id="62"/>
    <w:bookmarkStart w:name="z73" w:id="63"/>
    <w:p>
      <w:pPr>
        <w:spacing w:after="0"/>
        <w:ind w:left="0"/>
        <w:jc w:val="both"/>
      </w:pPr>
      <w:r>
        <w:rPr>
          <w:rFonts w:ascii="Times New Roman"/>
          <w:b w:val="false"/>
          <w:i w:val="false"/>
          <w:color w:val="000000"/>
          <w:sz w:val="28"/>
        </w:rPr>
        <w:t xml:space="preserve">
      Среднерыночная стоимость автотранспортного средства определяется на основании независимой оценки или оценки микрофинансовой организации в соответствии с Международным стандартом финансовой отчетности № 13 "Оценка справедливой стоимости"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w:t>
      </w:r>
    </w:p>
    <w:bookmarkEnd w:id="63"/>
    <w:bookmarkStart w:name="z74" w:id="64"/>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64"/>
    <w:bookmarkStart w:name="z75" w:id="6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5"/>
    <w:bookmarkStart w:name="z76" w:id="6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66"/>
    <w:bookmarkStart w:name="z77" w:id="6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7"/>
    <w:bookmarkStart w:name="z78" w:id="68"/>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8"/>
    <w:bookmarkStart w:name="z79" w:id="69"/>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81" w:id="70"/>
      <w:r>
        <w:rPr>
          <w:rFonts w:ascii="Times New Roman"/>
          <w:b w:val="false"/>
          <w:i w:val="false"/>
          <w:color w:val="000000"/>
          <w:sz w:val="28"/>
        </w:rPr>
        <w:t>
      "СОГЛАСОВАНО"</w:t>
      </w:r>
    </w:p>
    <w:bookmarkEnd w:id="7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