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ccef" w14:textId="d54c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6 июня 2024 года № 192. Зарегистрирован в Министерстве юстиции Республики Казахстан 6 июня 2024 года № 34461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"9) заемщик - заключившие с эмитентом договор займа о получении кредита/лизинга и принявшие на себя обязательства по договору займа физическое или юридическое лицо, индивидуальный предприниматель (в том числе крестьянское (фермерское) хозяйство),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кредитные товарищества, банки второго уровня, социально-предпринимательские корпорации, региональные инвестиционные центры, микрофинансовые организации;";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"11) льготная ставка вознаграждения по финансированию за счет краткосрочных облигаций – ставка вознаграждения, размер которой составляет для заемщиков, за исключением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и конечных заемщиков – не более 5 (пять) % годовых, для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 не более 3 (три) % годовых;";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"18) конечный заемщик – заемщик кредитного товарищества, банка второго уровня, социально-предпринимательской корпорации, регионального инвестиционного центра, микрофинансовой организации;";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7"/>
    <w:bookmarkStart w:name="z16" w:id="8"/>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8"/>
    <w:bookmarkStart w:name="z17" w:id="9"/>
    <w:p>
      <w:pPr>
        <w:spacing w:after="0"/>
        <w:ind w:left="0"/>
        <w:jc w:val="both"/>
      </w:pPr>
      <w:r>
        <w:rPr>
          <w:rFonts w:ascii="Times New Roman"/>
          <w:b w:val="false"/>
          <w:i w:val="false"/>
          <w:color w:val="000000"/>
          <w:sz w:val="28"/>
        </w:rPr>
        <w:t>
      В случае оплаты эмитентом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9"/>
    <w:bookmarkStart w:name="z18" w:id="10"/>
    <w:p>
      <w:pPr>
        <w:spacing w:after="0"/>
        <w:ind w:left="0"/>
        <w:jc w:val="both"/>
      </w:pPr>
      <w:r>
        <w:rPr>
          <w:rFonts w:ascii="Times New Roman"/>
          <w:b w:val="false"/>
          <w:i w:val="false"/>
          <w:color w:val="000000"/>
          <w:sz w:val="28"/>
        </w:rPr>
        <w:t>
      Рабочий орган перечисляет авансовым платежом 100 % (сто процентов) купонного вознаграждения по облигациям, срок выпуска которых составляет до 12 (двенадцать) месяцев включительно, на банковский счет эмитента, подлежащего уплате по облигациям, согласно заключенному соглашению.</w:t>
      </w:r>
    </w:p>
    <w:bookmarkEnd w:id="10"/>
    <w:bookmarkStart w:name="z19" w:id="11"/>
    <w:p>
      <w:pPr>
        <w:spacing w:after="0"/>
        <w:ind w:left="0"/>
        <w:jc w:val="both"/>
      </w:pPr>
      <w:r>
        <w:rPr>
          <w:rFonts w:ascii="Times New Roman"/>
          <w:b w:val="false"/>
          <w:i w:val="false"/>
          <w:color w:val="000000"/>
          <w:sz w:val="28"/>
        </w:rPr>
        <w:t>
      Эмитент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эмитенту субсидий в размере 100 % (сто процентов) купонного вознаграждения, производит кредитование заемщиков по льготной ставке вознаграждения по финансированию за счет краткосрочных облигаций путем заключения договоров займа.</w:t>
      </w:r>
    </w:p>
    <w:bookmarkEnd w:id="11"/>
    <w:bookmarkStart w:name="z20" w:id="12"/>
    <w:p>
      <w:pPr>
        <w:spacing w:after="0"/>
        <w:ind w:left="0"/>
        <w:jc w:val="both"/>
      </w:pPr>
      <w:r>
        <w:rPr>
          <w:rFonts w:ascii="Times New Roman"/>
          <w:b w:val="false"/>
          <w:i w:val="false"/>
          <w:color w:val="000000"/>
          <w:sz w:val="28"/>
        </w:rPr>
        <w:t>
      За счет указанных краткосрочных облигаций допускается:</w:t>
      </w:r>
    </w:p>
    <w:bookmarkEnd w:id="12"/>
    <w:bookmarkStart w:name="z21" w:id="13"/>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3"/>
    <w:bookmarkStart w:name="z22" w:id="14"/>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14"/>
    <w:bookmarkStart w:name="z23" w:id="15"/>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15"/>
    <w:bookmarkStart w:name="z24"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5" w:id="1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сельского хозяйства Республики Казахстан после его официального опубликования. </w:t>
      </w:r>
    </w:p>
    <w:bookmarkEnd w:id="17"/>
    <w:bookmarkStart w:name="z26"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8"/>
    <w:bookmarkStart w:name="z27"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29"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32"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