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6b81" w14:textId="d156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22 ноября 2014 года № 107 "Об утверждении Методики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p>
      <w:pPr>
        <w:spacing w:after="0"/>
        <w:ind w:left="0"/>
        <w:jc w:val="both"/>
      </w:pPr>
      <w:r>
        <w:rPr>
          <w:rFonts w:ascii="Times New Roman"/>
          <w:b w:val="false"/>
          <w:i w:val="false"/>
          <w:color w:val="000000"/>
          <w:sz w:val="28"/>
        </w:rPr>
        <w:t>Приказ Министра туризма и спорта Республики Казахстан от 28 мая 2024 года № 111. Зарегистрирован в Министерстве юстиции Республики Казахстан 1 июня 2024 года № 34436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107 "Об утверждении Методики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(зарегистрирован в Реестре государственной регистрации нормативных правовых актов под № 10005)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утвержденной указанным приказом:</w:t>
      </w:r>
    </w:p>
    <w:bookmarkEnd w:id="3"/>
    <w:bookmarkStart w:name="z9" w:id="4"/>
    <w:p>
      <w:pPr>
        <w:spacing w:after="0"/>
        <w:ind w:left="0"/>
        <w:jc w:val="both"/>
      </w:pPr>
      <w:r>
        <w:rPr>
          <w:rFonts w:ascii="Times New Roman"/>
          <w:b w:val="false"/>
          <w:i w:val="false"/>
          <w:color w:val="000000"/>
          <w:sz w:val="28"/>
        </w:rPr>
        <w:t>
      заголовок на русском языке изложить в следующей редакции, текст на казахском языке не меняется:</w:t>
      </w:r>
    </w:p>
    <w:bookmarkEnd w:id="4"/>
    <w:bookmarkStart w:name="z10" w:id="5"/>
    <w:p>
      <w:pPr>
        <w:spacing w:after="0"/>
        <w:ind w:left="0"/>
        <w:jc w:val="both"/>
      </w:pPr>
      <w:r>
        <w:rPr>
          <w:rFonts w:ascii="Times New Roman"/>
          <w:b w:val="false"/>
          <w:i w:val="false"/>
          <w:color w:val="000000"/>
          <w:sz w:val="28"/>
        </w:rPr>
        <w:t>
      "Методика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"Глава 1. Общие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Настоящая Методика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(далее – Методика) разработана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"Глава 2. Определение нормативов питания и фармакологического обеспечения";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Методике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8" w:id="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Методике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 учебно-</w:t>
            </w:r>
            <w:r>
              <w:br/>
            </w:r>
            <w:r>
              <w:rPr>
                <w:rFonts w:ascii="Times New Roman"/>
                <w:b w:val="false"/>
                <w:i w:val="false"/>
                <w:color w:val="000000"/>
                <w:sz w:val="20"/>
              </w:rPr>
              <w:t>тренировочного процесса</w:t>
            </w:r>
            <w:r>
              <w:br/>
            </w:r>
            <w:r>
              <w:rPr>
                <w:rFonts w:ascii="Times New Roman"/>
                <w:b w:val="false"/>
                <w:i w:val="false"/>
                <w:color w:val="000000"/>
                <w:sz w:val="20"/>
              </w:rPr>
              <w:t>и спортивных мероприятий";</w:t>
            </w:r>
          </w:p>
        </w:tc>
      </w:tr>
    </w:tbl>
    <w:bookmarkStart w:name="z20" w:id="1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к Методике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 учебно-</w:t>
            </w:r>
            <w:r>
              <w:br/>
            </w:r>
            <w:r>
              <w:rPr>
                <w:rFonts w:ascii="Times New Roman"/>
                <w:b w:val="false"/>
                <w:i w:val="false"/>
                <w:color w:val="000000"/>
                <w:sz w:val="20"/>
              </w:rPr>
              <w:t>тренировочного процесса</w:t>
            </w:r>
            <w:r>
              <w:br/>
            </w:r>
            <w:r>
              <w:rPr>
                <w:rFonts w:ascii="Times New Roman"/>
                <w:b w:val="false"/>
                <w:i w:val="false"/>
                <w:color w:val="000000"/>
                <w:sz w:val="20"/>
              </w:rPr>
              <w:t>и спортивных мероприятий".</w:t>
            </w:r>
          </w:p>
        </w:tc>
      </w:tr>
    </w:tbl>
    <w:bookmarkStart w:name="z22" w:id="11"/>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11"/>
    <w:bookmarkStart w:name="z23"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4" w:id="13"/>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13"/>
    <w:bookmarkStart w:name="z25" w:id="14"/>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14"/>
    <w:bookmarkStart w:name="z26"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15"/>
    <w:bookmarkStart w:name="z27"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bookmarkStart w:name="z29"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3"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34"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2024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w:t>
            </w:r>
            <w:r>
              <w:br/>
            </w:r>
            <w:r>
              <w:rPr>
                <w:rFonts w:ascii="Times New Roman"/>
                <w:b w:val="false"/>
                <w:i w:val="false"/>
                <w:color w:val="000000"/>
                <w:sz w:val="20"/>
              </w:rPr>
              <w:t>учебно-тренировочного</w:t>
            </w:r>
            <w:r>
              <w:br/>
            </w:r>
            <w:r>
              <w:rPr>
                <w:rFonts w:ascii="Times New Roman"/>
                <w:b w:val="false"/>
                <w:i w:val="false"/>
                <w:color w:val="000000"/>
                <w:sz w:val="20"/>
              </w:rPr>
              <w:t>процесса и спортивных</w:t>
            </w:r>
            <w:r>
              <w:br/>
            </w:r>
            <w:r>
              <w:rPr>
                <w:rFonts w:ascii="Times New Roman"/>
                <w:b w:val="false"/>
                <w:i w:val="false"/>
                <w:color w:val="000000"/>
                <w:sz w:val="20"/>
              </w:rPr>
              <w:t>мероприятий</w:t>
            </w:r>
          </w:p>
        </w:tc>
      </w:tr>
    </w:tbl>
    <w:bookmarkStart w:name="z41" w:id="27"/>
    <w:p>
      <w:pPr>
        <w:spacing w:after="0"/>
        <w:ind w:left="0"/>
        <w:jc w:val="left"/>
      </w:pPr>
      <w:r>
        <w:rPr>
          <w:rFonts w:ascii="Times New Roman"/>
          <w:b/>
          <w:i w:val="false"/>
          <w:color w:val="000000"/>
        </w:rPr>
        <w:t xml:space="preserve"> Нормы питания спортсменов, участвующих на учебно-тренировочных процессах и спортивных мероприятиях</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Энергозатраты в каллориях на 1 человека в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норма продуктов за 1 день на 1 человека, в 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1 человека в сутки, в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Ашихара-каратэ, аударыспак, батутная гимнастика, биатлон, бирманский бокс, бокс, борьба на поясах, велосипедный спорт, велосипедный спорт (шоссе), велосипедный мотокросс (BMX), велотрек, вольная борьба, гребля на байдарках и каноэ, академическая гребля, гребной слалом, греко-римская борьба, грэпплинг (версия AIGA), грэпплинг UWW, джиу-джитсу, дзюдо, жекпе-жек, женская борьба, казакша курес, каратэ (WKF), каратэ шинкиокушинкай, кҰкушин будокай каратэ, каратэ-до кекушин, каратэ-до шотокан, кҰкусин-кан каратэ-до, кекушинкай каратэ, кикбоксинг, киокушинкай-кан каратэ, комбат дзю-дзюцу, конькобежный спорт, легкая атлетика, лыжные гонки, маунтинбайк, мейбукан годзю-рю карате-до, муайтай (муай, тай боксы), панкратион, пара велоспорт, паракаратэ, пара дзюдо, пенчак силат, плавание, плавание на открытой воде, подводный спорт, рукопашный бой, спортивная гимнастика, смешанные виды боевого единоборства (ММА), сноуборд, спортивное самбо и боевое самбо, таеквондо ИТФ (I.T.F.), таэквандо WT, таеквон-до GTF, тяжелая атлетика, унифайт, ушу, фристайл, шорт-трек, Nomad MMA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миндаль, фундук и другие),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с медом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 американский футбол, армрестлинг, артистическое плавание (синхронное плавание), асық ату, аэробная гимнастика, баскетбол, баскетбол 3х3, биатл, бодибилдинг, бочча, брейкинг, водное поло, волейбол сидя, гандбол, гиревой спорт, голбол, гольф, горнолыжный спорт, жамбы ату, индорхоккей, классический волейбол, кокпар, лазер-ран, лыжное двоеборье, настольный теннис, пара хоккей на льду, парусный спорт, пауэрлифтинг, пляжный волейбол, практическая стрельба, президендское многоборье (полиатлон), прыжки на лыжах с трамплина, пулевая стрельба, регби, спортивное скалолазание, спортивный туризм, спортивное ориентирование, стендовая стрельба, стрельба из лука, стрельба по движущийся мишени, современное пятиборье, тенге илу, теннис, триатл, триатлон, фехтование, фигурное катание на коньках, футбол, футзал, хоккей на траве, хоккей с мячом, хоккей с шайбой, черлидинг, эстетическая групповая гимнастика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 и бобовые)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пересчете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спорт, автомотоспорт, бадминтон, байге, бильярд, варминтинг, ездовой спорт, керлинг, киберспорт, конный спорт, ордабасы, охота с ловчими птицами, паралимпийская выездка, петанк, пожаротушение и пожароспасательный спорт, прыжки в воду, радиоспорт, санный спорт, скейтбординг, снайпинг, спорт на пилоне, спортивная акробатика, художественная гимнастика, спортивное рыболовство, спортинг, судомодельный спорт, танцевальный спорт (спортивный танец, современный танец, танцы на колясках, спортивно-танцевальная хореография), тогызкумалак, шахматы, шашки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 и бобовые)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bl>
    <w:bookmarkStart w:name="z42" w:id="28"/>
    <w:p>
      <w:pPr>
        <w:spacing w:after="0"/>
        <w:ind w:left="0"/>
        <w:jc w:val="both"/>
      </w:pPr>
      <w:r>
        <w:rPr>
          <w:rFonts w:ascii="Times New Roman"/>
          <w:b w:val="false"/>
          <w:i w:val="false"/>
          <w:color w:val="000000"/>
          <w:sz w:val="28"/>
        </w:rPr>
        <w:t>
      Примечание: нормы питания по школам-интернатам для одаренных в спорте детей, специализированным школам-интернатам-колледжам олимпийского резерва, спортивным колледжам, а также в дни отсутствия учебно-тренировочных занятий спортсменов - членов штатных сборных команд Дирекции штатных национальных сборных команд и спортивного резерва, Центра спортивной подготовки для лиц с ограниченными физическими возможностями обеспечиваются согласно пункту 3 приложения 1 к настоящей Методике.</w:t>
      </w:r>
    </w:p>
    <w:bookmarkEnd w:id="28"/>
    <w:bookmarkStart w:name="z43" w:id="29"/>
    <w:p>
      <w:pPr>
        <w:spacing w:after="0"/>
        <w:ind w:left="0"/>
        <w:jc w:val="both"/>
      </w:pPr>
      <w:r>
        <w:rPr>
          <w:rFonts w:ascii="Times New Roman"/>
          <w:b w:val="false"/>
          <w:i w:val="false"/>
          <w:color w:val="000000"/>
          <w:sz w:val="28"/>
        </w:rPr>
        <w:t>
      Нормы питания по республиканским организациям обеспечивается по наивысшим расходам.</w:t>
      </w:r>
    </w:p>
    <w:bookmarkEnd w:id="29"/>
    <w:bookmarkStart w:name="z44" w:id="30"/>
    <w:p>
      <w:pPr>
        <w:spacing w:after="0"/>
        <w:ind w:left="0"/>
        <w:jc w:val="both"/>
      </w:pPr>
      <w:r>
        <w:rPr>
          <w:rFonts w:ascii="Times New Roman"/>
          <w:b w:val="false"/>
          <w:i w:val="false"/>
          <w:color w:val="000000"/>
          <w:sz w:val="28"/>
        </w:rPr>
        <w:t>
      Данные нормы питания спортсменов распространяются на паралимпийские, сурдлимпийские и непаралимпийские виды спорта, имеющие общие наименования с олимпийскими, неолимпийскими и национальными видами спорта.</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