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2def" w14:textId="c002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микрофинансовой и коллекторской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апреля 2024 года № 20. Зарегистрировано в Министерстве юстиции Республики Казахстан 6 мая 2024 года № 34344</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государственной статистике</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организацией, осуществляющей микрофинансовую деятельность, нормах и лимитах, методике их расчетов,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июня 2021 года № 73 "Об установлении минимального размера уставного капитала коллекторского агентства" (зарегистрировано в Реестре государственной регистрации нормативных правовых актов под № 23101) следующее изменение: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 Установить минимальный размер уставного капитала для коллекторского агентства в следующем размере:</w:t>
      </w:r>
    </w:p>
    <w:bookmarkEnd w:id="5"/>
    <w:bookmarkStart w:name="z13" w:id="6"/>
    <w:p>
      <w:pPr>
        <w:spacing w:after="0"/>
        <w:ind w:left="0"/>
        <w:jc w:val="both"/>
      </w:pPr>
      <w:r>
        <w:rPr>
          <w:rFonts w:ascii="Times New Roman"/>
          <w:b w:val="false"/>
          <w:i w:val="false"/>
          <w:color w:val="000000"/>
          <w:sz w:val="28"/>
        </w:rPr>
        <w:t>
      для коллекторского агентства, приобретающего права (требования) по договорам банковского займа и (или) договорам о предоставлении микрокредита - 100 000 000 (сто миллионов) тенге;</w:t>
      </w:r>
    </w:p>
    <w:bookmarkEnd w:id="6"/>
    <w:bookmarkStart w:name="z14" w:id="7"/>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введения в действие настоящего постановления и приобретающего права (требования) по договорам банковского займа и (или) договорам о предоставлении микрокредита:</w:t>
      </w:r>
    </w:p>
    <w:bookmarkEnd w:id="7"/>
    <w:bookmarkStart w:name="z15" w:id="8"/>
    <w:p>
      <w:pPr>
        <w:spacing w:after="0"/>
        <w:ind w:left="0"/>
        <w:jc w:val="both"/>
      </w:pPr>
      <w:r>
        <w:rPr>
          <w:rFonts w:ascii="Times New Roman"/>
          <w:b w:val="false"/>
          <w:i w:val="false"/>
          <w:color w:val="000000"/>
          <w:sz w:val="28"/>
        </w:rPr>
        <w:t>
      с 1 января 2022 года – 10 000 000 (десять миллионов) тенге;</w:t>
      </w:r>
    </w:p>
    <w:bookmarkEnd w:id="8"/>
    <w:bookmarkStart w:name="z16" w:id="9"/>
    <w:p>
      <w:pPr>
        <w:spacing w:after="0"/>
        <w:ind w:left="0"/>
        <w:jc w:val="both"/>
      </w:pPr>
      <w:r>
        <w:rPr>
          <w:rFonts w:ascii="Times New Roman"/>
          <w:b w:val="false"/>
          <w:i w:val="false"/>
          <w:color w:val="000000"/>
          <w:sz w:val="28"/>
        </w:rPr>
        <w:t>
      с 1 июля 2022 года – 30 000 000 (тридцать миллионов) тенге;</w:t>
      </w:r>
    </w:p>
    <w:bookmarkEnd w:id="9"/>
    <w:bookmarkStart w:name="z17" w:id="10"/>
    <w:p>
      <w:pPr>
        <w:spacing w:after="0"/>
        <w:ind w:left="0"/>
        <w:jc w:val="both"/>
      </w:pPr>
      <w:r>
        <w:rPr>
          <w:rFonts w:ascii="Times New Roman"/>
          <w:b w:val="false"/>
          <w:i w:val="false"/>
          <w:color w:val="000000"/>
          <w:sz w:val="28"/>
        </w:rPr>
        <w:t>
      с 1 января 2023 года – 50 000 000 (пятьдесят миллионов) тенге;</w:t>
      </w:r>
    </w:p>
    <w:bookmarkEnd w:id="10"/>
    <w:bookmarkStart w:name="z18" w:id="11"/>
    <w:p>
      <w:pPr>
        <w:spacing w:after="0"/>
        <w:ind w:left="0"/>
        <w:jc w:val="both"/>
      </w:pPr>
      <w:r>
        <w:rPr>
          <w:rFonts w:ascii="Times New Roman"/>
          <w:b w:val="false"/>
          <w:i w:val="false"/>
          <w:color w:val="000000"/>
          <w:sz w:val="28"/>
        </w:rPr>
        <w:t>
      с 1 января 2024 года – 100 000 000 (сто миллионов) тенге;</w:t>
      </w:r>
    </w:p>
    <w:bookmarkEnd w:id="11"/>
    <w:bookmarkStart w:name="z19" w:id="12"/>
    <w:p>
      <w:pPr>
        <w:spacing w:after="0"/>
        <w:ind w:left="0"/>
        <w:jc w:val="both"/>
      </w:pPr>
      <w:r>
        <w:rPr>
          <w:rFonts w:ascii="Times New Roman"/>
          <w:b w:val="false"/>
          <w:i w:val="false"/>
          <w:color w:val="000000"/>
          <w:sz w:val="28"/>
        </w:rPr>
        <w:t>
      для коллекторского агентства, осуществляющего исключительно коллекторскую деятельность, - 50 000 000 (пятьдесят миллионов) тенге;</w:t>
      </w:r>
    </w:p>
    <w:bookmarkEnd w:id="12"/>
    <w:bookmarkStart w:name="z20" w:id="13"/>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до введения в действие настоящего постановления и осуществляющего исключительно коллекторскую деятельность:</w:t>
      </w:r>
    </w:p>
    <w:bookmarkEnd w:id="13"/>
    <w:bookmarkStart w:name="z21" w:id="14"/>
    <w:p>
      <w:pPr>
        <w:spacing w:after="0"/>
        <w:ind w:left="0"/>
        <w:jc w:val="both"/>
      </w:pPr>
      <w:r>
        <w:rPr>
          <w:rFonts w:ascii="Times New Roman"/>
          <w:b w:val="false"/>
          <w:i w:val="false"/>
          <w:color w:val="000000"/>
          <w:sz w:val="28"/>
        </w:rPr>
        <w:t>
      с 1 января 2022 года – 10 000 000 (десять миллионов) тенге;</w:t>
      </w:r>
    </w:p>
    <w:bookmarkEnd w:id="14"/>
    <w:bookmarkStart w:name="z22" w:id="15"/>
    <w:p>
      <w:pPr>
        <w:spacing w:after="0"/>
        <w:ind w:left="0"/>
        <w:jc w:val="both"/>
      </w:pPr>
      <w:r>
        <w:rPr>
          <w:rFonts w:ascii="Times New Roman"/>
          <w:b w:val="false"/>
          <w:i w:val="false"/>
          <w:color w:val="000000"/>
          <w:sz w:val="28"/>
        </w:rPr>
        <w:t>
      с 1 июля 2022 года – 30 000 000 (тридцать миллионов) тенге;</w:t>
      </w:r>
    </w:p>
    <w:bookmarkEnd w:id="15"/>
    <w:bookmarkStart w:name="z23" w:id="16"/>
    <w:p>
      <w:pPr>
        <w:spacing w:after="0"/>
        <w:ind w:left="0"/>
        <w:jc w:val="both"/>
      </w:pPr>
      <w:r>
        <w:rPr>
          <w:rFonts w:ascii="Times New Roman"/>
          <w:b w:val="false"/>
          <w:i w:val="false"/>
          <w:color w:val="000000"/>
          <w:sz w:val="28"/>
        </w:rPr>
        <w:t>
      с 1 января 2023 года – 50 000 000 (пятьдесят миллионов) тенге.</w:t>
      </w:r>
    </w:p>
    <w:bookmarkEnd w:id="16"/>
    <w:bookmarkStart w:name="z24" w:id="17"/>
    <w:p>
      <w:pPr>
        <w:spacing w:after="0"/>
        <w:ind w:left="0"/>
        <w:jc w:val="both"/>
      </w:pPr>
      <w:r>
        <w:rPr>
          <w:rFonts w:ascii="Times New Roman"/>
          <w:b w:val="false"/>
          <w:i w:val="false"/>
          <w:color w:val="000000"/>
          <w:sz w:val="28"/>
        </w:rPr>
        <w:t>
      Уставный капитал коллекторского агентства составляет сумму, рассчитываемую как активы коллекторского агентства за вычетом обязательств.</w:t>
      </w:r>
    </w:p>
    <w:bookmarkEnd w:id="17"/>
    <w:bookmarkStart w:name="z25" w:id="18"/>
    <w:p>
      <w:pPr>
        <w:spacing w:after="0"/>
        <w:ind w:left="0"/>
        <w:jc w:val="both"/>
      </w:pPr>
      <w:r>
        <w:rPr>
          <w:rFonts w:ascii="Times New Roman"/>
          <w:b w:val="false"/>
          <w:i w:val="false"/>
          <w:color w:val="000000"/>
          <w:sz w:val="28"/>
        </w:rPr>
        <w:t>
      В целях подтверждения оплаты минимального размера уставного капитала создаваемого коллекторского агентства к моменту его государственной регистрации (перерегистрации) коллекторское агентство представляет следующие документы: документ банка второго уровня (в том числе выписка о движении денег по банковским счетам клиента), подтверждающий зачисление на банковский счет денег в качестве взноса в уставный капитал коллекторского агентства, и выданный не ранее 30 (тридцати) календарных дней до даты обращения для прохождения учетной регистрации и, при наличии, реестр участников хозяйственного товарищества либо выписка из него, выданная профессиональным участником рынка ценных бумаг, осуществляющим деятельность по ведению системы реестров держателей ценных бумаг.".</w:t>
      </w:r>
    </w:p>
    <w:bookmarkEnd w:id="18"/>
    <w:bookmarkStart w:name="z26" w:id="19"/>
    <w:p>
      <w:pPr>
        <w:spacing w:after="0"/>
        <w:ind w:left="0"/>
        <w:jc w:val="both"/>
      </w:pPr>
      <w:r>
        <w:rPr>
          <w:rFonts w:ascii="Times New Roman"/>
          <w:b w:val="false"/>
          <w:i w:val="false"/>
          <w:color w:val="000000"/>
          <w:sz w:val="28"/>
        </w:rPr>
        <w:t>
      3. Департаменту регулирования небанковских организаций Агентства Республики Казахстан по регулированию и развитию финансового рынка (далее – Агентство) в установленном законодательством Республики Казахстан порядке обеспечить:</w:t>
      </w:r>
    </w:p>
    <w:bookmarkEnd w:id="19"/>
    <w:bookmarkStart w:name="z27" w:id="20"/>
    <w:p>
      <w:pPr>
        <w:spacing w:after="0"/>
        <w:ind w:left="0"/>
        <w:jc w:val="both"/>
      </w:pPr>
      <w:r>
        <w:rPr>
          <w:rFonts w:ascii="Times New Roman"/>
          <w:b w:val="false"/>
          <w:i w:val="false"/>
          <w:color w:val="000000"/>
          <w:sz w:val="28"/>
        </w:rPr>
        <w:t>
      1) совместно с Юридическим департаментом Агентства государственную регистрацию настоящего постановления в Министерстве юстиции Республики Казахстан;</w:t>
      </w:r>
    </w:p>
    <w:bookmarkEnd w:id="20"/>
    <w:bookmarkStart w:name="z28" w:id="2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после его официального опубликования;</w:t>
      </w:r>
    </w:p>
    <w:bookmarkEnd w:id="21"/>
    <w:bookmarkStart w:name="z29"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Агентства сведений об исполнении мероприятия, предусмотренного подпунктом 2) настоящего пункта.</w:t>
      </w:r>
    </w:p>
    <w:bookmarkEnd w:id="22"/>
    <w:bookmarkStart w:name="z30" w:id="2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w:t>
      </w:r>
    </w:p>
    <w:bookmarkEnd w:id="23"/>
    <w:bookmarkStart w:name="z31" w:id="2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апреля 2024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 нормам</w:t>
            </w:r>
            <w:r>
              <w:br/>
            </w:r>
            <w:r>
              <w:rPr>
                <w:rFonts w:ascii="Times New Roman"/>
                <w:b w:val="false"/>
                <w:i w:val="false"/>
                <w:color w:val="000000"/>
                <w:sz w:val="20"/>
              </w:rPr>
              <w:t>и лимитам, методике их расчетов</w:t>
            </w:r>
          </w:p>
        </w:tc>
      </w:tr>
    </w:tbl>
    <w:bookmarkStart w:name="z35" w:id="25"/>
    <w:p>
      <w:pPr>
        <w:spacing w:after="0"/>
        <w:ind w:left="0"/>
        <w:jc w:val="left"/>
      </w:pPr>
      <w:r>
        <w:rPr>
          <w:rFonts w:ascii="Times New Roman"/>
          <w:b/>
          <w:i w:val="false"/>
          <w:color w:val="000000"/>
        </w:rPr>
        <w:t xml:space="preserve"> Таблица активов микрофинансовой организации, взвешенных по степени кредитного риска вложений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обеспеченные залогом,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выпуска ценных бумаг –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микрокредиты, обеспеченные залогом автотранспортного средства, полностью покрывающим сумму выданного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микрокредиты, в том числе микрокредиты, выданные в соответствии с пунктом 3-1 статьи 4 Закона Республики Казахстан "О микрофинансовой деятельности" (далее – Закон), обеспеченные залогом, полностью покрывающим сумму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микрокредиты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 выданные в соответствии с пунктом 3-1 статьи 4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39" w:id="26"/>
    <w:p>
      <w:pPr>
        <w:spacing w:after="0"/>
        <w:ind w:left="0"/>
        <w:jc w:val="left"/>
      </w:pPr>
      <w:r>
        <w:rPr>
          <w:rFonts w:ascii="Times New Roman"/>
          <w:b/>
          <w:i w:val="false"/>
          <w:color w:val="000000"/>
        </w:rPr>
        <w:t xml:space="preserve"> Пояснения к расчету активов микрофинансовой организации, подлежащих взвешиванию по степени кредитного риска вложений</w:t>
      </w:r>
    </w:p>
    <w:bookmarkEnd w:id="26"/>
    <w:bookmarkStart w:name="z40" w:id="27"/>
    <w:p>
      <w:pPr>
        <w:spacing w:after="0"/>
        <w:ind w:left="0"/>
        <w:jc w:val="both"/>
      </w:pPr>
      <w:r>
        <w:rPr>
          <w:rFonts w:ascii="Times New Roman"/>
          <w:b w:val="false"/>
          <w:i w:val="false"/>
          <w:color w:val="000000"/>
          <w:sz w:val="28"/>
        </w:rPr>
        <w:t xml:space="preserve">
      1. Активы, подлежащие взвешиванию по степени кредитного риска вложений, включаются по балансу микрофинансовой организации,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w:t>
      </w:r>
    </w:p>
    <w:bookmarkEnd w:id="27"/>
    <w:bookmarkStart w:name="z41" w:id="28"/>
    <w:p>
      <w:pPr>
        <w:spacing w:after="0"/>
        <w:ind w:left="0"/>
        <w:jc w:val="both"/>
      </w:pPr>
      <w:r>
        <w:rPr>
          <w:rFonts w:ascii="Times New Roman"/>
          <w:b w:val="false"/>
          <w:i w:val="false"/>
          <w:color w:val="000000"/>
          <w:sz w:val="28"/>
        </w:rPr>
        <w:t>
      2. Вклады, дебиторская задолженность, приобретенные ценные бумаги, по которым у микрофинансовой организации имеется обеспечение (в виде активов, указанных в строках 1, 2, 3, 4, 5, 6, 7, 8, 9, 10 и 11 Таблицы активов микрофинансовой организации,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у микрофинансовой организации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кредитного риска вложений, за минусом скорректированной стоимости обеспечения.</w:t>
      </w:r>
    </w:p>
    <w:bookmarkEnd w:id="28"/>
    <w:bookmarkStart w:name="z42" w:id="2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7, 8, 9, 10 и 11 Таблицы) равняется:</w:t>
      </w:r>
    </w:p>
    <w:bookmarkEnd w:id="29"/>
    <w:bookmarkStart w:name="z43" w:id="30"/>
    <w:p>
      <w:pPr>
        <w:spacing w:after="0"/>
        <w:ind w:left="0"/>
        <w:jc w:val="both"/>
      </w:pPr>
      <w:r>
        <w:rPr>
          <w:rFonts w:ascii="Times New Roman"/>
          <w:b w:val="false"/>
          <w:i w:val="false"/>
          <w:color w:val="000000"/>
          <w:sz w:val="28"/>
        </w:rPr>
        <w:t>
      100 (ста) процентам суммы вкладов, предоставленных в качестве обеспечения;</w:t>
      </w:r>
    </w:p>
    <w:bookmarkEnd w:id="30"/>
    <w:bookmarkStart w:name="z44" w:id="31"/>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31"/>
    <w:bookmarkStart w:name="z45" w:id="3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2"/>
    <w:bookmarkStart w:name="z46" w:id="3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3"/>
    <w:bookmarkStart w:name="z47" w:id="34"/>
    <w:p>
      <w:pPr>
        <w:spacing w:after="0"/>
        <w:ind w:left="0"/>
        <w:jc w:val="both"/>
      </w:pPr>
      <w:r>
        <w:rPr>
          <w:rFonts w:ascii="Times New Roman"/>
          <w:b w:val="false"/>
          <w:i w:val="false"/>
          <w:color w:val="000000"/>
          <w:sz w:val="28"/>
        </w:rPr>
        <w:t>
      3. Вклады, дебиторская задолженность, приобретенные ценные бумаги, гарантированные (застрахованные) организациями, имеющими степень риска ниже контрагента, включаются в расчет активов, взвешенных по степени кредитного риска вложений (за минусом гарантированной (застрахованной) суммы вкладов, дебиторской задолженности, приобретенных ценных бумаг) по степени риска должника.</w:t>
      </w:r>
    </w:p>
    <w:bookmarkEnd w:id="34"/>
    <w:bookmarkStart w:name="z48" w:id="3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взвешивается по степени риска дебиторской задолженности соответствующего гаранта (страховщика).</w:t>
      </w:r>
    </w:p>
    <w:bookmarkEnd w:id="35"/>
    <w:bookmarkStart w:name="z49" w:id="36"/>
    <w:p>
      <w:pPr>
        <w:spacing w:after="0"/>
        <w:ind w:left="0"/>
        <w:jc w:val="both"/>
      </w:pPr>
      <w:r>
        <w:rPr>
          <w:rFonts w:ascii="Times New Roman"/>
          <w:b w:val="false"/>
          <w:i w:val="false"/>
          <w:color w:val="000000"/>
          <w:sz w:val="28"/>
        </w:rPr>
        <w:t>
      4. Если ценная бумага имеет специальный долговой рейтинг выпуска, то при взвешивании активов микрофинансовой организации по степени кредитного риска вложений необходимо учитывать рейтинг ценной бумаги.</w:t>
      </w:r>
    </w:p>
    <w:bookmarkEnd w:id="36"/>
    <w:bookmarkStart w:name="z50" w:id="37"/>
    <w:p>
      <w:pPr>
        <w:spacing w:after="0"/>
        <w:ind w:left="0"/>
        <w:jc w:val="both"/>
      </w:pPr>
      <w:r>
        <w:rPr>
          <w:rFonts w:ascii="Times New Roman"/>
          <w:b w:val="false"/>
          <w:i w:val="false"/>
          <w:color w:val="000000"/>
          <w:sz w:val="28"/>
        </w:rPr>
        <w:t xml:space="preserve">
      5. Активы, указанные в строке 54 Таблицы, включают потребительские микрокредиты, в том числе микрокредиты, выданные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4 Закона, обеспеченные залогом, полностью покрывающим сумму микрокредита, за исключением потребительских микрокредитов, обеспеченных залогом автотранспортного средства, полностью покрывающим сумму выданного микрокредита.</w:t>
      </w:r>
    </w:p>
    <w:bookmarkEnd w:id="37"/>
    <w:bookmarkStart w:name="z51" w:id="38"/>
    <w:p>
      <w:pPr>
        <w:spacing w:after="0"/>
        <w:ind w:left="0"/>
        <w:jc w:val="both"/>
      </w:pPr>
      <w:r>
        <w:rPr>
          <w:rFonts w:ascii="Times New Roman"/>
          <w:b w:val="false"/>
          <w:i w:val="false"/>
          <w:color w:val="000000"/>
          <w:sz w:val="28"/>
        </w:rPr>
        <w:t xml:space="preserve">
      6. Активы, указанные в строке 55 Таблицы, включают беззалоговые потребительские микрокредиты, за исключением беззалоговых микрокредитов, выданных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4 Закона.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