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3326" w14:textId="25e3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4 мая 2024 года № 18. Зарегистрирован в Министерстве юстиции Республики Казахстан 6 мая 2024 года № 34340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 (зарегистрирован в Реестре государственной регистрации нормативных правовых актов под № 26447)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Fonts w:ascii="Times New Roman"/>
          <w:b/>
          <w:i w:val="false"/>
          <w:color w:val="000000"/>
          <w:sz w:val="28"/>
        </w:rPr>
        <w:t>ПР</w:t>
      </w:r>
      <w:r>
        <w:rPr>
          <w:rFonts w:ascii="Times New Roman"/>
          <w:b/>
          <w:i w:val="false"/>
          <w:color w:val="000000"/>
          <w:sz w:val="28"/>
        </w:rPr>
        <w:t>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Санитарные правила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(далее – Положение) и определяют санитарно-эпидемиологические требования к санитарно-защитным зонам (далее – СЗЗ) объектов, являющихся объектами (источниками) воздействия на среду обитания и здоровье человека (далее – объект).";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СЗЗ устанавливается вокруг объектов, являющихся объектами (источниками) воздействия на среду обитания и здоровье человека, с целью обеспечения безопасности населения, размер которой обеспечивает уменьшение воздействия загрязнения на атмосферный воздух (химического, биологического, физического) до значений, установленных гигиеническими нормативами, утверждаемых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(далее – гигиенические нормативы), а для объектов I и II класса опасности – как до значений, установленных гигиеническими нормативами, так и до величин приемлемого риска для здоровья населения. По своему функциональному назначению СЗЗ является защитным барьером, обеспечивающим уровень безопасности населения при эксплуатации объекта в штатном режиме.";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Предварительные (расчетные) размеры СЗЗ для новых, проектируемых и действующих объектов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правилам, с разработкой проектной документации по установлению СЗЗ.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действующих объектов ввиду исторически сложившейся застройки допускается уменьшение размеров СЗЗ, в соответствии с пунктом 26 настоящих Санитарных правил, без установления предварительных (расчетных) размеров СЗЗ.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Расчетные размеры СЗЗ для объектов, не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 устанавливаются расчетным методом, на основании проектной документации, с расчетами рассеивания загрязнения атмосферного воздуха и уровней физического воздействия на атмосферный воздух (шум, вибрация, ЭМП) и оценкой риска для жизни и здоровья населения (для объектов I и II класса опасности).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Установленная (окончательная) СЗЗ, определяется на основании годичного цикла натурных исследований для подтверждения расчетных параметров (ежеквартально по приоритетным показателям, в зависимости от специфики производственной деятельности на соответствие по среднесуточным и максимально-разовым концентрациям) и уровням физического воздействия (шум, вибрация, ЭМП, при наличии источника) на границе СЗЗ объекта и за его пределами (ежеквартально) в течении года, с получением санитарно-эпидемиологического заключения.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более одного года со дня ввода объекта в эксплуатацию, хозяйствующий субъект соответствующего объекта обеспечивает проведение исследований (измерений) атмосферного воздуха, уровней физического и (или) биологического воздействия на атмосферный воздух для подтверждения предварительного (расчетного) СЗЗ.";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Критерием для определения размера СЗЗ является одновременное соблюдение следующих условий: не превышение на ее внешней границе и за ее пределами концентрации загрязняющих веществ ПДК по максимально разовым и среднесуточным показателям или ориентировочный безопасный уровень воздействия (далее – ОБУВ) для атмосферного воздуха населенных мест и (или) ПДУ физического воздействия, а также результаты оценки риска для жизни и здоровья населения (для объектов I и II класса опасности).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Объекты, являющиеся источниками воздействия на среду обитания и здоровье человека, отделяются СЗЗ от производственного объекта до жилой застройки, ландшафтно-рекреационных зон, площадей (зон) отдыха, территорий курортов, санаториев, домов отдыха, стационарных лечебно-профилактических и оздоровительных организаций, спортивных организаций, детских площадок, образовательных и детских организаций, территорий садоводческих товариществ и коттеджной застройки, коллективных или индивидуальных дачных и садово-огородных участков.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автомагистралей, линий железнодорожного транспорта, наземных участков метрополитена, а также вдоль стандартных маршрутов полета в зоне взлета и посадки воздушных судов, запусков космических аппаратов от проекции на поверхность земли устанавливается расстояние от объекта, которое имеет режим СЗЗ и обеспечивающее снижение от химического, биологического и физического воздействия до значений установленных гигиеническими нормативами (далее – санитарный разрыв).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санитарных разрывов устанавливается в каждом конкретном случае на основании расчетов рассеивания выбросов загрязняющих веществ в атмосферный воздух и уровней физического воздействия (шума, вибрации, ЭМП и другие физические факторы).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санитарного разрыва, в том числе для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Санитарных правил не требуется разработка проекта обоснования санитарного разрыва, за исключением санитарных разрывов вдоль стандартных маршрутов полета в зоне взлета и посадки воздушных судов, запусков космических аппаратов (санитарный разрыв устанавливается последовательно, в соответствии с требованиями, указанными в пункте 9 настоящих Санитарных правил).";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Изменение (увеличение, уменьшение) размеров СЗЗ для действующих объектов осуществляется путем получения санитарно-эпидемиологического заключения на проект СЗЗ, разработанного согласно требованиям к составу проекта СЗЗ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 и на основании: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объективных доказательств достижения уровня химического, биологического загрязнения атмосферного воздуха на атмосферный воздух до ПДК на границе СЗЗ и за ее пределами по материалам систематических лабораторных наблюдений в течении года на соответствие показателей по среднесуточным и максимально-разовым концентрациям (не менее пятидесяти дней исследований на каждый ингредиент в отдельной точке) по приоритетным показателям, в зависимости от специфики производственной деятельности;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объективных доказательств достижения уровня физического воздействия соблюдения уровней физического воздействия до ПДУ (шум, вибрация, ЭМП) по материалам лабораторных наблюдений на границе СЗЗ объекта и за его пределами на ежеквартальной основе в течении года;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объектов I и II классов опасности проведение оценки риска для жизни и здоровья населения;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учета фоновых концентраций на соответствующей административно-территориальной единице (при наличии автоматизированных станций мониторинга атмосферного воздуха в данной местности);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изменения состава и перепрофилирования объектов;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использования наилучших доступных техник, внедрения передовых технологических решений, эффективных очистных сооружений и других, направленных на сокращение уровней воздействия на среду обитания.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Действующим объектом, подлежащим изменению СЗЗ является объект, функционирующий более 1 года.";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СЗЗ для действующих объектов I и II классов опасности, для объектов, не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правилам, в том числе с новыми, недостаточно изученными технологиями, не имеющими аналогов в стране и за рубежом устанавливается Главными государственными санитарными врачами на соответствующих территориях и транспорте (области, города республиканского значения, столицы) или его заместителями, а также должностными лицами структурных подразделений Министерства обороны Республики Казахстан, органов национальной безопасности и внутренних дел, осуществляющими деятельность в сфере санитарно-эпидемиологического благополучия населения (далее – должностные лица, осуществляющие деятельность в сфере санитарно-эпидемиологического благополучия населения).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СЗЗ для действующих объектов III, IV и V классов опасности устанавливается Главными государственными санитарными врачами на соответствующих территориях и транспорте (района и города) или его заместителями, а также должностными лицами, осуществляющими деятельность в сфере санитарно-эпидемиологического благополучия населения.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(расчетная) СЗЗ для проектируемых объектов устанавливается экспертами, аттестованными в порядке, установленном законодательством Республики Казахстан об архитектурной, градостроительной и строительной деятельности в составе комплексной вневедомственной экспертизы.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Изменение размеров СЗЗ для действующих объектов I, II, III, IV и V класса опасности осуществляется Главными государственными санитарными врачами на соответствующих территориях и транспорте (области, города республиканского значения, столицы) или его заместителями, а также должностными лицами, осуществляющими деятельность в сфере санитарно-эпидемиологического благополучия населения.";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В целях защиты населения от воздействия электрического поля, создаваемого ВЛЭ устанавливается санитарный разрыв вдоль трассы высоковольтной линии, за пределами которого напряженность электрического поля не превышает 1 киловольт на метр (кВ/м).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вновь проектируемых ВЛЭ, а также зданий и сооружений принимаются границы санитарных разрывов вдоль трассы ВЛЭ с горизонтальным расположением проводов и без средств снижения напряженности электрического поля по обе стороны от нее на следующих расстояниях от проекции на землю крайних фазных проводов в направлении, перпендикулярном к ВЛЭ: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25 м – для ВЛЭ напряжением 220 киловольт (далее – кВ) включительно;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30 м – для ВЛЭ напряжением 500 кВ включительно;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40 м – для ВЛЭ напряжением 750 кВ включительно;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55 м – для ВЛЭ напряжением 1150 кВ включительно";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Установление и изменение размера СЗЗ в местах размещения передающих радиотехнических объектов проводится в соответствии с санитарно-эпидемиологическими требованиями к радиотехническим объектам, утверждаемыми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В границах СЗЗ объектов (в том числе территории объекта, от которого устанавливается СЗЗ) размещаются здания и сооружения для обслуживания работников объекта и для обеспечения его деятельности, указанные в пункте 47 настоящих Санитарных правил, за исключением: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жилые здания, включая вновь строящуюся жилую застройку;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ландшафтно-рекреационные зоны, площадки (зоны) отдыха, территории курортов, санаториев и домов отдыха;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создаваемые и организующиеся территории садоводческих товариществ и коттеджной застройки, коллективных или индивидуальных дачных и садово-огородных участков;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спортивные сооружения, детские площадки, образовательные и детские организации, лечебно-профилактические и оздоровительные организации общего пользования;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по выращиванию сельскохозяйственных культур, используемых в качестве продуктов питания.";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Санитарным правилам: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10 изложить в следующей редакции: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Класс I – СЗЗ 1000 м: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хозяйства по выращиванию свиней от 100 до 5000 голов и выше;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хозяйства по выращиванию птицы более 400000 кур-несушек и более 3000000 бройлеров в год;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хозяйства по выращиванию и откорму крупного рогатого скота более 5000 голов;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открытые хранилища навоза и помета;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склады для хранения минеральных удобрений, пестицидов, сильнодействующих ядовитых веществ 500 и более тонн в год.";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10 изложить в следующей редакции: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Класс III – СЗЗ 300 м: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хозяйство по выращиванию и откорму крупного рогатого скота до 1200 голов (всех специализаций), фермы коневодческие;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хозяйства с содержанием животных (свинарники, зверофермы) от 50 до 100 голов;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хозяйство по выращиванию и откорму овец от 3000 до 5000 голов;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хозяйство по выращиванию птицы до 100000 кур-несушек и до 1000000 бройлеров;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площадки для буртования помета и навоза;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склады для хранения минеральных удобрений, пестицидов, сильнодействующих ядовитых веществ 50 и более тонн в год;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обработка сельскохозяйственных угодий пестицидами с применением тракторов от границ поля до населенного пункта;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кролиководческие фермы;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объекты по реализации сельскохозяйственных животных.";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10 изложить в следующей редакции:</w:t>
      </w:r>
    </w:p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Класс IV – СЗЗ 100 м: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тепличные и парниковые хозяйства;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склады для хранения минеральных удобрений, пестицидов, сильнодействующих ядовитых веществ до 50 тонн в год;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склады сухих минеральных удобрений, химических средств защиты растений (зона устанавливается и до предприятий по хранению и переработке пищевой продукции);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мелиоративные объекты с использованием животноводческих стоков;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цехи по приготовлению кормов, включая использование пищевых отходов;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гаражи и парки по ремонту, техническому обслуживанию и хранению грузовых автомобилей и сельскохозяйственной техники;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хозяйства с содержанием животных (свинарники, коровники, птичники, конюшни, зверофермы) до 50 голов;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склады горюче-смазочных материалов.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складов горюче-смазочных материалов вместимостью до 100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размеры СЗЗ определяются на основе расчетов в каждом конкретном случае при обязательном увеличении размеров не менее чем в 3 раза, установленных по расчету, но не менее 50 м.";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11 изложить в следующей редакции:</w:t>
      </w:r>
    </w:p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Класс I – СЗЗ 1000 м: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поля ассенизации;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поля запахивания;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сливные станции;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скотомогильники с захоронением в ямах;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утильзаводы для ликвидации трупов животных и конфискатов;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крематории, при количестве печей более 1 (одной);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станции и пункты очистки и промывки вагонов после перевозки скота (дезопромывочные станции и пункты);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участки компостирования твердых отбросов и нечистот населенного пункта (центральные);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ранее захороненные сибиреязвенные скотомогильники, скотомогильники с захоронением в ямах, с биологическими камерами.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Размеры СЗЗ для сибиреязвенных скотомогильников и скотомогильников с неустановленной причиной падежа животных определяются согласно нормативным размерам СЗЗ, без разработки проекта СЗЗ. Ввиду биологического риска сокращение СЗЗ допускается на основании научных исследований в области биологической безопасности.";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13 изложить в следующей редакции:</w:t>
      </w:r>
    </w:p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Класс II – СЗЗ 500 м: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открытые склады и места разгрузки апатитного концентрата, фосфоритной муки, цементов и других пылящих грузов при грузообороте до 150000 тонн в год;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открытые склады и места перегрузки угля;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открытые склады и места перегрузки минеральных удобрений, асбеста, извести, руд (кроме радиоактивных) и других минералов (в том числе серы, серного колчедана, гипса);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места перегрузки и хранения сырой нефти, битума, мазута и других вязких нефтепродуктов и химических грузов;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открытые и закрытые склады и места перегрузки пека и пекосодержащих грузов;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хранения и перегрузки деревянных шпал, пропитанных антисептиками;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санитарно-карантинные станции;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места перегрузки и хранения сжиженного природного (нефтяного) газа (в том числе соединения метана, пропана, бутана) объемом от 250 до 1000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14 изложить в следующей редакции:</w:t>
      </w:r>
    </w:p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Класс I – СЗЗ 1000 м: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тепловые электрические станции (далее – ТЭС), эквивалентной электрической мощности в 600 мегаватт/час (далее – МВт/ч) и выше, использующие в качестве топлива уголь и мазут.";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14 изложить в следующей редакции:</w:t>
      </w:r>
    </w:p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Класс II – СЗЗ 500 м: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ТЭС эквивалентной электрической мощности в 600 МВт/ч и выше, работающие на газовом и газо-мазутном топливе;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тепловые электроцентрали (далее – ТЭЦ) и районные котельные тепловой мощностью 200 гигакаллорий/час (далее – Гкал/ч) и выше, работающие на угольном и мазутном топливе;";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14 изложить в следующей редакции:</w:t>
      </w:r>
    </w:p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Класс III – СЗЗ 300 м: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ТЭЦ и районные котельные тепловой мощностью 200 Гкал/ч и выше, работающие на газовом и газомазутном топливе (последний – как резервный), относятся к объектам третьего класса с размером 300 м.;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СЗЗ от золоотвалы ТЭС и ТЭЦ составляет не менее 300 м с посадкой деревьев и кустарников по периметру.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установлении минимальной величины СЗЗ от всех типов котельных тепловой мощностью менее 200 Гкал/ч, работающих на твердом, жидком и газообразном топливе, необходимо определение расчетной концентрации над поверхностью земли, а в условиях многоэтажной жилой застройки также определение вертикального распределения концентраций, с учетом рельефа местности и застройки, а также акустических расчетов. При максимальных разовых и среднесуточных концентрациях загрязняющих веществ от отдельно стоящих котельных на твердом и жидком топливе не превышающих ПДК для населения СЗЗ 50 м. Для отдельно стоящих котельных на газовом топливе размер СЗЗ устанавливается на основании расчетных данных.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расчету рассеивания загрязняющих веществ и воздействия физических факторов допускается размещение автономных малометражных котлов и печей в встроено-пристроенных, встроенных, пристроенных, объектах, многоэтажных жилых домах, отдельно стоящих зданиях (лечебно-профилактические и оздоровительные организации, объекты образования, дошкольные организации, сельские клубы, магазины и другие объекты общего пользования), при условии не превышения ПДК загрязняющих веществ от котлов и печей в расчетных точках, определяемых в жилых и общественных помещениях, придомовых территориях.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наличии жилых домов повышенной этажности в зоне максимального загрязнения от котельных, высота дымовой трубы предусматривается, как минимум, на 1,5 м выше конька крыши самого высокого жилого дома.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рассеивания дымовых газов от объектов теплоэнергетики проводится с учетом эффекта суммации, в том числе диоксида серы и оксидов азота, золы.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Насосные станции горячего водоснабжения относятся к объектам V класса с санитарным разрывом не менее 50 м.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Эквивалентная электрическая мощность – суммарная установленная электрическая и тепловая мощность, выраженная в мегаваттах.".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порядке обеспечить: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3" w:id="10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4" w:id="1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5" w:id="1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6" w:id="1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7" w:id="1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8" w:id="1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9" w:id="1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0" w:id="1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1" w:id="1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2" w:id="1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3" w:id="119"/>
      <w:r>
        <w:rPr>
          <w:rFonts w:ascii="Times New Roman"/>
          <w:b w:val="false"/>
          <w:i w:val="false"/>
          <w:color w:val="000000"/>
          <w:sz w:val="28"/>
        </w:rPr>
        <w:t>
      "СОГЛАСОВАН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4" w:id="1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