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4ca4" w14:textId="1bd4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22 апреля 2024 года № 246/НҚ. Зарегистрирован в Министерстве юстиции Республики Казахстан 23 апреля 2024 года № 34287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(зарегистрирован в Реестре государственной регистрации нормативных правовых актов за № 10730)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Выдача, аннулирование, продление и переоформление разрешения на использование радиочастотного спектра Республики Казахстан является государственной услугой (далее – государственная услуга).</w:t>
      </w:r>
    </w:p>
    <w:bookmarkEnd w:id="3"/>
    <w:bookmarkStart w:name="z9" w:id="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5. Для получения государственной услуги услугополучатель направляет в Комитет телекоммуникаций Министерства цифрового развития, инноваций и аэрокосмической промышленности Республики Казахстан (далее – услугодатель) в электронном виде посредством веб-портала "электронного правительства" www.egov.kz (далее – портал):</w:t>
      </w:r>
    </w:p>
    <w:bookmarkEnd w:id="5"/>
    <w:bookmarkStart w:name="z11" w:id="6"/>
    <w:p>
      <w:pPr>
        <w:spacing w:after="0"/>
        <w:ind w:left="0"/>
        <w:jc w:val="both"/>
      </w:pPr>
      <w:r>
        <w:rPr>
          <w:rFonts w:ascii="Times New Roman"/>
          <w:b w:val="false"/>
          <w:i w:val="false"/>
          <w:color w:val="000000"/>
          <w:sz w:val="28"/>
        </w:rPr>
        <w:t xml:space="preserve">
      1) заявку (в том числе для судов, плавающих под флагом Республики Казахстан, включая присвоение позывного сигнала)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
    <w:bookmarkStart w:name="z12" w:id="7"/>
    <w:p>
      <w:pPr>
        <w:spacing w:after="0"/>
        <w:ind w:left="0"/>
        <w:jc w:val="both"/>
      </w:pPr>
      <w:r>
        <w:rPr>
          <w:rFonts w:ascii="Times New Roman"/>
          <w:b w:val="false"/>
          <w:i w:val="false"/>
          <w:color w:val="000000"/>
          <w:sz w:val="28"/>
        </w:rPr>
        <w:t>
      2) пояснительную записку, в которой приводится обоснование запрашиваемой полосы (номинала) радиочастот, где подробно излагаются сведения о назначении топологии и архитектуре планируемой радиосети (радиолинии), месте расположения ее центра управления относительно территории Республики Казахстан (в пределах либо за ее пределами), используемых стандартах и протоколах, технических характеристиках РЭС, планируемых к применению. В том числе, к пояснительной записке прилагаются:</w:t>
      </w:r>
    </w:p>
    <w:bookmarkEnd w:id="7"/>
    <w:bookmarkStart w:name="z13" w:id="8"/>
    <w:p>
      <w:pPr>
        <w:spacing w:after="0"/>
        <w:ind w:left="0"/>
        <w:jc w:val="both"/>
      </w:pPr>
      <w:r>
        <w:rPr>
          <w:rFonts w:ascii="Times New Roman"/>
          <w:b w:val="false"/>
          <w:i w:val="false"/>
          <w:color w:val="000000"/>
          <w:sz w:val="28"/>
        </w:rPr>
        <w:t>
      для организации спутниковой связи копия письма оператора спутниковой связи с указанием номиналов (полосы) выделяемых радиочастот, эффективной изотропно излучаемой мощности, класса излучения, типа VSAT-станций;</w:t>
      </w:r>
    </w:p>
    <w:bookmarkEnd w:id="8"/>
    <w:bookmarkStart w:name="z14" w:id="9"/>
    <w:p>
      <w:pPr>
        <w:spacing w:after="0"/>
        <w:ind w:left="0"/>
        <w:jc w:val="both"/>
      </w:pPr>
      <w:r>
        <w:rPr>
          <w:rFonts w:ascii="Times New Roman"/>
          <w:b w:val="false"/>
          <w:i w:val="false"/>
          <w:color w:val="000000"/>
          <w:sz w:val="28"/>
        </w:rPr>
        <w:t xml:space="preserve">
      3)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радиоэлектронное средство системы беспроводной радиосвязи (WLL – wireless local loop), на стационарное радиоэлектронное средство ультракороткие волны (далее - УКВ), короткие волны (далее - КВ), транкинговой радиосвязи и сетей передачи данных) и морской служб (береговые, радиолокационные станции, радиомаяки) согласно </w:t>
      </w:r>
      <w:r>
        <w:rPr>
          <w:rFonts w:ascii="Times New Roman"/>
          <w:b w:val="false"/>
          <w:i w:val="false"/>
          <w:color w:val="000000"/>
          <w:sz w:val="28"/>
        </w:rPr>
        <w:t>приложению 5</w:t>
      </w:r>
      <w:r>
        <w:rPr>
          <w:rFonts w:ascii="Times New Roman"/>
          <w:b w:val="false"/>
          <w:i w:val="false"/>
          <w:color w:val="000000"/>
          <w:sz w:val="28"/>
        </w:rPr>
        <w:t xml:space="preserve">,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xml:space="preserve">
      "17. После выдачи разрешения на РЧС или разрешения на РЧС для судовой станции, территориальное подразделение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направляет (за оставшийся период года) услугополучателю извещение на уплату в государственный бюджет платы за использование РЧС,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"38. В случае изменения технических параметров, в том числе места установки РЭС (изменения географических координат, изменения высоты подвеса антенны, изменения направленности антенны) для получения заключения электромагнитной совместимости (далее – ЭМС) услугополучатель подает в Государственную радиочастотную службу заявку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 предоставлением следующих документов и сведений:</w:t>
      </w:r>
    </w:p>
    <w:bookmarkEnd w:id="11"/>
    <w:bookmarkStart w:name="z19" w:id="12"/>
    <w:p>
      <w:pPr>
        <w:spacing w:after="0"/>
        <w:ind w:left="0"/>
        <w:jc w:val="both"/>
      </w:pPr>
      <w:r>
        <w:rPr>
          <w:rFonts w:ascii="Times New Roman"/>
          <w:b w:val="false"/>
          <w:i w:val="false"/>
          <w:color w:val="000000"/>
          <w:sz w:val="28"/>
        </w:rPr>
        <w:t>
      1) пояснительная записка, в которой приводится обоснование запрашиваемой полосы (номинала) радиочастот, где подробно излагаются сведения о назначении топологии и архитектуры планируемой радиосети (радиолинии), месте расположения ее центра управления относительно территории Республики Казахстан (в пределах либо за ее пределами), используемых стандартах и протоколах, технических характеристиках РЭС, планируемых к применению, схема организации связи, сетка частот (радиоканалов);</w:t>
      </w:r>
    </w:p>
    <w:bookmarkEnd w:id="12"/>
    <w:bookmarkStart w:name="z20" w:id="13"/>
    <w:p>
      <w:pPr>
        <w:spacing w:after="0"/>
        <w:ind w:left="0"/>
        <w:jc w:val="both"/>
      </w:pPr>
      <w:r>
        <w:rPr>
          <w:rFonts w:ascii="Times New Roman"/>
          <w:b w:val="false"/>
          <w:i w:val="false"/>
          <w:color w:val="000000"/>
          <w:sz w:val="28"/>
        </w:rPr>
        <w:t xml:space="preserve">
      2)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радиоэлектронное средство системы беспроводной радиосвязи (WLL – wireless local loop),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 согласно </w:t>
      </w:r>
      <w:r>
        <w:rPr>
          <w:rFonts w:ascii="Times New Roman"/>
          <w:b w:val="false"/>
          <w:i w:val="false"/>
          <w:color w:val="000000"/>
          <w:sz w:val="28"/>
        </w:rPr>
        <w:t>приложению 5</w:t>
      </w:r>
      <w:r>
        <w:rPr>
          <w:rFonts w:ascii="Times New Roman"/>
          <w:b w:val="false"/>
          <w:i w:val="false"/>
          <w:color w:val="000000"/>
          <w:sz w:val="28"/>
        </w:rPr>
        <w:t xml:space="preserve">,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3) сведения из договора о совместном использовании радиочастотного спектра (основной пользователь радиочастотного спектра, пользователь получивший право на использование частот по данному договору, полоса радиочастот, которая определена для совместного использования, срок, номер и дата подписания договора).";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"60. Требования, предъявляемые к участникам:</w:t>
      </w:r>
    </w:p>
    <w:bookmarkEnd w:id="15"/>
    <w:bookmarkStart w:name="z24" w:id="16"/>
    <w:p>
      <w:pPr>
        <w:spacing w:after="0"/>
        <w:ind w:left="0"/>
        <w:jc w:val="both"/>
      </w:pPr>
      <w:r>
        <w:rPr>
          <w:rFonts w:ascii="Times New Roman"/>
          <w:b w:val="false"/>
          <w:i w:val="false"/>
          <w:color w:val="000000"/>
          <w:sz w:val="28"/>
        </w:rPr>
        <w:t>
      1) не находиться на стадии ликвидации или банкротства;</w:t>
      </w:r>
    </w:p>
    <w:bookmarkEnd w:id="16"/>
    <w:bookmarkStart w:name="z25" w:id="17"/>
    <w:p>
      <w:pPr>
        <w:spacing w:after="0"/>
        <w:ind w:left="0"/>
        <w:jc w:val="both"/>
      </w:pPr>
      <w:r>
        <w:rPr>
          <w:rFonts w:ascii="Times New Roman"/>
          <w:b w:val="false"/>
          <w:i w:val="false"/>
          <w:color w:val="000000"/>
          <w:sz w:val="28"/>
        </w:rPr>
        <w:t>
      2) обладать опытом деятельности в области связи не менее 5 (пяти) лет;</w:t>
      </w:r>
    </w:p>
    <w:bookmarkEnd w:id="17"/>
    <w:bookmarkStart w:name="z26" w:id="18"/>
    <w:p>
      <w:pPr>
        <w:spacing w:after="0"/>
        <w:ind w:left="0"/>
        <w:jc w:val="both"/>
      </w:pPr>
      <w:r>
        <w:rPr>
          <w:rFonts w:ascii="Times New Roman"/>
          <w:b w:val="false"/>
          <w:i w:val="false"/>
          <w:color w:val="000000"/>
          <w:sz w:val="28"/>
        </w:rPr>
        <w:t>
      3) внести оплату гарантийного взноса для участия в торгах (квитанция).";</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пункт 22 изложить в следующей редакции:</w:t>
      </w:r>
    </w:p>
    <w:bookmarkEnd w:id="20"/>
    <w:bookmarkStart w:name="z29"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РЭС технологии LPWAN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863-868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не допускается</w:t>
            </w:r>
          </w:p>
          <w:bookmarkEnd w:id="22"/>
          <w:p>
            <w:pPr>
              <w:spacing w:after="20"/>
              <w:ind w:left="20"/>
              <w:jc w:val="both"/>
            </w:pPr>
            <w:r>
              <w:rPr>
                <w:rFonts w:ascii="Times New Roman"/>
                <w:b w:val="false"/>
                <w:i w:val="false"/>
                <w:color w:val="000000"/>
                <w:sz w:val="20"/>
              </w:rPr>
              <w:t>
использование в пределах аэропортов (аэродромов)</w:t>
            </w:r>
          </w:p>
        </w:tc>
      </w:tr>
    </w:tbl>
    <w:bookmarkStart w:name="z31" w:id="23"/>
    <w:p>
      <w:pPr>
        <w:spacing w:after="0"/>
        <w:ind w:left="0"/>
        <w:jc w:val="both"/>
      </w:pPr>
      <w:r>
        <w:rPr>
          <w:rFonts w:ascii="Times New Roman"/>
          <w:b w:val="false"/>
          <w:i w:val="false"/>
          <w:color w:val="000000"/>
          <w:sz w:val="28"/>
        </w:rPr>
        <w:t>
      ";</w:t>
      </w:r>
    </w:p>
    <w:bookmarkEnd w:id="23"/>
    <w:bookmarkStart w:name="z32" w:id="24"/>
    <w:p>
      <w:pPr>
        <w:spacing w:after="0"/>
        <w:ind w:left="0"/>
        <w:jc w:val="both"/>
      </w:pPr>
      <w:r>
        <w:rPr>
          <w:rFonts w:ascii="Times New Roman"/>
          <w:b w:val="false"/>
          <w:i w:val="false"/>
          <w:color w:val="000000"/>
          <w:sz w:val="28"/>
        </w:rPr>
        <w:t>
      пункт 24 изложить в следующей редакции:</w:t>
      </w:r>
    </w:p>
    <w:bookmarkEnd w:id="24"/>
    <w:bookmarkStart w:name="z33"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(широкополосные системы передачи данных) WAS/RLAN Системы передачи данных/локальные радиосети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p>
            <w:pPr>
              <w:spacing w:after="20"/>
              <w:ind w:left="20"/>
              <w:jc w:val="both"/>
            </w:pPr>
            <w:r>
              <w:rPr>
                <w:rFonts w:ascii="Times New Roman"/>
                <w:b w:val="false"/>
                <w:i w:val="false"/>
                <w:color w:val="000000"/>
                <w:sz w:val="20"/>
              </w:rPr>
              <w:t>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Широкополосных видов модуляции, кроме ППРЧ (FHSS), максимальная спектральная плотность ЭИИМ 10мВт/1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дБм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p>
            <w:pPr>
              <w:spacing w:after="20"/>
              <w:ind w:left="20"/>
              <w:jc w:val="both"/>
            </w:pPr>
            <w:r>
              <w:rPr>
                <w:rFonts w:ascii="Times New Roman"/>
                <w:b w:val="false"/>
                <w:i w:val="false"/>
                <w:color w:val="000000"/>
                <w:sz w:val="20"/>
              </w:rPr>
              <w:t>Максимальная средняя плотность э.и.и.м. должна быть ограничена до 13 дБм/ МГц.</w:t>
            </w:r>
          </w:p>
        </w:tc>
      </w:tr>
    </w:tbl>
    <w:bookmarkStart w:name="z34" w:id="26"/>
    <w:p>
      <w:pPr>
        <w:spacing w:after="0"/>
        <w:ind w:left="0"/>
        <w:jc w:val="both"/>
      </w:pPr>
      <w:r>
        <w:rPr>
          <w:rFonts w:ascii="Times New Roman"/>
          <w:b w:val="false"/>
          <w:i w:val="false"/>
          <w:color w:val="000000"/>
          <w:sz w:val="28"/>
        </w:rPr>
        <w:t>
      ";</w:t>
      </w:r>
    </w:p>
    <w:bookmarkEnd w:id="26"/>
    <w:bookmarkStart w:name="z35" w:id="27"/>
    <w:p>
      <w:pPr>
        <w:spacing w:after="0"/>
        <w:ind w:left="0"/>
        <w:jc w:val="both"/>
      </w:pPr>
      <w:r>
        <w:rPr>
          <w:rFonts w:ascii="Times New Roman"/>
          <w:b w:val="false"/>
          <w:i w:val="false"/>
          <w:color w:val="000000"/>
          <w:sz w:val="28"/>
        </w:rPr>
        <w:t>
      пункт 26 изложить в следующей редакции:</w:t>
      </w:r>
    </w:p>
    <w:bookmarkEnd w:id="27"/>
    <w:bookmarkStart w:name="z36"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(интегрированные средства передачи и обработки информации для автомобильного транспорта и управления дорожным движением (RTTT))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дБм пиковая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мощности: 55 дБм – пиковая мощность, 50 дБм – средняя мощность, 23,5 дБм – средняя мощность только для импульсного радара. Промышленные и транспортные радиолокационные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24.075–24.150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 (только транспортное средство).</w:t>
            </w:r>
          </w:p>
          <w:p>
            <w:pPr>
              <w:spacing w:after="20"/>
              <w:ind w:left="20"/>
              <w:jc w:val="both"/>
            </w:pPr>
            <w:r>
              <w:rPr>
                <w:rFonts w:ascii="Times New Roman"/>
                <w:b w:val="false"/>
                <w:i w:val="false"/>
                <w:color w:val="000000"/>
                <w:sz w:val="20"/>
              </w:rPr>
              <w:t>Доступ к спектру и требования к снижению помех для устройств, смонтированных за бампером – максимальное время задержки 4µc/40кГц каждые 3 миллисекунд. Если они смонтированы вне бампера, то требование должно быть: максимальное время задержки 3µc/40кГц каждые 3 миллисекунд. Требования для устройств, смонтированных за бампером или без бампера – максимальное время задержки 1мc/40кГц каждые 40 миллисекунд.</w:t>
            </w:r>
          </w:p>
          <w:p>
            <w:pPr>
              <w:spacing w:after="20"/>
              <w:ind w:left="20"/>
              <w:jc w:val="both"/>
            </w:pPr>
            <w:r>
              <w:rPr>
                <w:rFonts w:ascii="Times New Roman"/>
                <w:b w:val="false"/>
                <w:i w:val="false"/>
                <w:color w:val="000000"/>
                <w:sz w:val="20"/>
              </w:rPr>
              <w:t>Требования к минимальному диапазону частот модуляции (применимо к FMCW или к сигналам с шагом частоты) или мгновенной ширине полосы 250 кГц (применимо к импульсным сигналам) применяется в дополнение к требованию по максимальному времени задержки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 (только транспортное средство)</w:t>
            </w:r>
          </w:p>
        </w:tc>
      </w:tr>
    </w:tbl>
    <w:bookmarkStart w:name="z37" w:id="29"/>
    <w:p>
      <w:pPr>
        <w:spacing w:after="0"/>
        <w:ind w:left="0"/>
        <w:jc w:val="both"/>
      </w:pPr>
      <w:r>
        <w:rPr>
          <w:rFonts w:ascii="Times New Roman"/>
          <w:b w:val="false"/>
          <w:i w:val="false"/>
          <w:color w:val="000000"/>
          <w:sz w:val="28"/>
        </w:rPr>
        <w:t>
      ";</w:t>
      </w:r>
    </w:p>
    <w:bookmarkEnd w:id="29"/>
    <w:p>
      <w:pPr>
        <w:spacing w:after="0"/>
        <w:ind w:left="0"/>
        <w:jc w:val="both"/>
      </w:pPr>
      <w:bookmarkStart w:name="z38" w:id="30"/>
      <w:r>
        <w:rPr>
          <w:rFonts w:ascii="Times New Roman"/>
          <w:b w:val="false"/>
          <w:i w:val="false"/>
          <w:color w:val="000000"/>
          <w:sz w:val="28"/>
        </w:rPr>
        <w:t>
      примечание изложить в следующей редакции:</w:t>
      </w:r>
    </w:p>
    <w:bookmarkEnd w:id="30"/>
    <w:p>
      <w:pPr>
        <w:spacing w:after="0"/>
        <w:ind w:left="0"/>
        <w:jc w:val="both"/>
      </w:pPr>
      <w:r>
        <w:rPr>
          <w:rFonts w:ascii="Times New Roman"/>
          <w:b w:val="false"/>
          <w:i w:val="false"/>
          <w:color w:val="000000"/>
          <w:sz w:val="28"/>
        </w:rPr>
        <w:t>"Примечание: основные сокращения, указанные в перечне:</w:t>
      </w:r>
    </w:p>
    <w:p>
      <w:pPr>
        <w:spacing w:after="0"/>
        <w:ind w:left="0"/>
        <w:jc w:val="both"/>
      </w:pPr>
      <w:r>
        <w:rPr>
          <w:rFonts w:ascii="Times New Roman"/>
          <w:b w:val="false"/>
          <w:i w:val="false"/>
          <w:color w:val="000000"/>
          <w:sz w:val="28"/>
        </w:rPr>
        <w:t>*Радиоэлектронные средства и высокочастотные устройства, на эксплуатацию которых не требуются разрешительные документы:</w:t>
      </w:r>
    </w:p>
    <w:p>
      <w:pPr>
        <w:spacing w:after="0"/>
        <w:ind w:left="0"/>
        <w:jc w:val="both"/>
      </w:pPr>
      <w:r>
        <w:rPr>
          <w:rFonts w:ascii="Times New Roman"/>
          <w:b w:val="false"/>
          <w:i w:val="false"/>
          <w:color w:val="000000"/>
          <w:sz w:val="28"/>
        </w:rPr>
        <w:t xml:space="preserve">*Таблица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p>
      <w:pPr>
        <w:spacing w:after="0"/>
        <w:ind w:left="0"/>
        <w:jc w:val="both"/>
      </w:pPr>
      <w:r>
        <w:rPr>
          <w:rFonts w:ascii="Times New Roman"/>
          <w:b w:val="false"/>
          <w:i w:val="false"/>
          <w:color w:val="000000"/>
          <w:sz w:val="28"/>
        </w:rPr>
        <w:t>При эксплуатации радиоэлектронные средства и высокочастотные устройства, указанные в Перечне, не должны создавать радиопомехи РЭС и ВЧУ, работающим на основании разрешительных документов в соответствии с Национальной таблицей, а их пользователи требовать защиты от помех;</w:t>
      </w:r>
    </w:p>
    <w:p>
      <w:pPr>
        <w:spacing w:after="0"/>
        <w:ind w:left="0"/>
        <w:jc w:val="both"/>
      </w:pPr>
      <w:r>
        <w:rPr>
          <w:rFonts w:ascii="Times New Roman"/>
          <w:b w:val="false"/>
          <w:i w:val="false"/>
          <w:color w:val="000000"/>
          <w:sz w:val="28"/>
        </w:rPr>
        <w:t>SRD – Short Range Devices, устройства малого радиуса;</w:t>
      </w:r>
    </w:p>
    <w:p>
      <w:pPr>
        <w:spacing w:after="0"/>
        <w:ind w:left="0"/>
        <w:jc w:val="both"/>
      </w:pPr>
      <w:r>
        <w:rPr>
          <w:rFonts w:ascii="Times New Roman"/>
          <w:b w:val="false"/>
          <w:i w:val="false"/>
          <w:color w:val="000000"/>
          <w:sz w:val="28"/>
        </w:rPr>
        <w:t>дБм – децибел-милливатт;</w:t>
      </w:r>
    </w:p>
    <w:p>
      <w:pPr>
        <w:spacing w:after="0"/>
        <w:ind w:left="0"/>
        <w:jc w:val="both"/>
      </w:pPr>
      <w:r>
        <w:rPr>
          <w:rFonts w:ascii="Times New Roman"/>
          <w:b w:val="false"/>
          <w:i w:val="false"/>
          <w:color w:val="000000"/>
          <w:sz w:val="28"/>
        </w:rPr>
        <w:t>WLL – wireless local loop (система беспроводного радиодоступа);</w:t>
      </w:r>
    </w:p>
    <w:p>
      <w:pPr>
        <w:spacing w:after="0"/>
        <w:ind w:left="0"/>
        <w:jc w:val="both"/>
      </w:pPr>
      <w:r>
        <w:rPr>
          <w:rFonts w:ascii="Times New Roman"/>
          <w:b w:val="false"/>
          <w:i w:val="false"/>
          <w:color w:val="000000"/>
          <w:sz w:val="28"/>
        </w:rPr>
        <w:t>DECT – Digital Enhanced Cordless Telecommunication.</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GBSAR – Ground-based Syntkhetic Aperture Radar</w:t>
      </w:r>
    </w:p>
    <w:p>
      <w:pPr>
        <w:spacing w:after="0"/>
        <w:ind w:left="0"/>
        <w:jc w:val="both"/>
      </w:pPr>
      <w:r>
        <w:rPr>
          <w:rFonts w:ascii="Times New Roman"/>
          <w:b w:val="false"/>
          <w:i w:val="false"/>
          <w:color w:val="000000"/>
          <w:sz w:val="28"/>
        </w:rPr>
        <w:t>(наземные радиолокаторы с синтезированной апертурой антенны);</w:t>
      </w:r>
    </w:p>
    <w:p>
      <w:pPr>
        <w:spacing w:after="0"/>
        <w:ind w:left="0"/>
        <w:jc w:val="both"/>
      </w:pPr>
      <w:r>
        <w:rPr>
          <w:rFonts w:ascii="Times New Roman"/>
          <w:b w:val="false"/>
          <w:i w:val="false"/>
          <w:color w:val="000000"/>
          <w:sz w:val="28"/>
        </w:rPr>
        <w:t>мВт – милливатт;</w:t>
      </w:r>
    </w:p>
    <w:p>
      <w:pPr>
        <w:spacing w:after="0"/>
        <w:ind w:left="0"/>
        <w:jc w:val="both"/>
      </w:pPr>
      <w:r>
        <w:rPr>
          <w:rFonts w:ascii="Times New Roman"/>
          <w:b w:val="false"/>
          <w:i w:val="false"/>
          <w:color w:val="000000"/>
          <w:sz w:val="28"/>
        </w:rPr>
        <w:t>э.и.м. – эффективная излучаемая мощность;</w:t>
      </w:r>
    </w:p>
    <w:p>
      <w:pPr>
        <w:spacing w:after="0"/>
        <w:ind w:left="0"/>
        <w:jc w:val="both"/>
      </w:pPr>
      <w:r>
        <w:rPr>
          <w:rFonts w:ascii="Times New Roman"/>
          <w:b w:val="false"/>
          <w:i w:val="false"/>
          <w:color w:val="000000"/>
          <w:sz w:val="28"/>
        </w:rPr>
        <w:t>э.и.и.м. – эффективная изотропно-излучаемая мощность;</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ГЛОНАСС – Глобальная навигационная спутниковая система;</w:t>
      </w:r>
    </w:p>
    <w:p>
      <w:pPr>
        <w:spacing w:after="0"/>
        <w:ind w:left="0"/>
        <w:jc w:val="both"/>
      </w:pPr>
      <w:r>
        <w:rPr>
          <w:rFonts w:ascii="Times New Roman"/>
          <w:b w:val="false"/>
          <w:i w:val="false"/>
          <w:color w:val="000000"/>
          <w:sz w:val="28"/>
        </w:rPr>
        <w:t>GPS – Global Position System (система глобального позиционирования).";</w:t>
      </w:r>
    </w:p>
    <w:bookmarkStart w:name="z39"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пункт 4 изложить в следующей редакции:</w:t>
      </w:r>
    </w:p>
    <w:bookmarkEnd w:id="32"/>
    <w:bookmarkStart w:name="z41"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приемо-передающие РЭС, предназначенные для: УKB-радиосвязи, транкинговой системы радиосвязи, подвижные РЭС УКВ-радиосвязи**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(За исключением маломощных носимых РЭС до 2 Ватт (151,625; 159,775; 433.075-434.775; 462,5625; 462,5875; 462,6125; 462,6375; 467,5625; 467,5875; 467,6125; 467,6375; 467,6625; 467,6875; 467,7125 МГц)</w:t>
            </w:r>
          </w:p>
        </w:tc>
      </w:tr>
    </w:tbl>
    <w:bookmarkStart w:name="z42" w:id="34"/>
    <w:p>
      <w:pPr>
        <w:spacing w:after="0"/>
        <w:ind w:left="0"/>
        <w:jc w:val="both"/>
      </w:pPr>
      <w:r>
        <w:rPr>
          <w:rFonts w:ascii="Times New Roman"/>
          <w:b w:val="false"/>
          <w:i w:val="false"/>
          <w:color w:val="000000"/>
          <w:sz w:val="28"/>
        </w:rPr>
        <w:t>
      ";</w:t>
      </w:r>
    </w:p>
    <w:bookmarkEnd w:id="34"/>
    <w:bookmarkStart w:name="z43" w:id="35"/>
    <w:p>
      <w:pPr>
        <w:spacing w:after="0"/>
        <w:ind w:left="0"/>
        <w:jc w:val="both"/>
      </w:pPr>
      <w:r>
        <w:rPr>
          <w:rFonts w:ascii="Times New Roman"/>
          <w:b w:val="false"/>
          <w:i w:val="false"/>
          <w:color w:val="000000"/>
          <w:sz w:val="28"/>
        </w:rPr>
        <w:t>
      пункт 8 изложить в следующей редакции:</w:t>
      </w:r>
    </w:p>
    <w:bookmarkEnd w:id="35"/>
    <w:bookmarkStart w:name="z44"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радиорелейной линии, том числе абонентские терминалы системы беспроводного радиодоступа, эксплуатируемые в режиме радиомоста с топологией "точка-точка"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bl>
    <w:bookmarkStart w:name="z45" w:id="37"/>
    <w:p>
      <w:pPr>
        <w:spacing w:after="0"/>
        <w:ind w:left="0"/>
        <w:jc w:val="both"/>
      </w:pPr>
      <w:r>
        <w:rPr>
          <w:rFonts w:ascii="Times New Roman"/>
          <w:b w:val="false"/>
          <w:i w:val="false"/>
          <w:color w:val="000000"/>
          <w:sz w:val="28"/>
        </w:rPr>
        <w:t>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p>
      <w:pPr>
        <w:spacing w:after="0"/>
        <w:ind w:left="0"/>
        <w:jc w:val="both"/>
      </w:pPr>
      <w:bookmarkStart w:name="z47" w:id="38"/>
      <w:r>
        <w:rPr>
          <w:rFonts w:ascii="Times New Roman"/>
          <w:b w:val="false"/>
          <w:i w:val="false"/>
          <w:color w:val="000000"/>
          <w:sz w:val="28"/>
        </w:rPr>
        <w:t>
      "Примечание: основные сокращения, указанные в перечне РЭС, на которые требуется проведения расчета ЭМС РЭС и ВЧУ и получение разрешения на РЧС, заключения ЭМС РЭС и ВЧУ:</w:t>
      </w:r>
    </w:p>
    <w:bookmarkEnd w:id="38"/>
    <w:p>
      <w:pPr>
        <w:spacing w:after="0"/>
        <w:ind w:left="0"/>
        <w:jc w:val="both"/>
      </w:pPr>
      <w:r>
        <w:rPr>
          <w:rFonts w:ascii="Times New Roman"/>
          <w:b w:val="false"/>
          <w:i w:val="false"/>
          <w:color w:val="000000"/>
          <w:sz w:val="28"/>
        </w:rPr>
        <w:t xml:space="preserve">*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p>
      <w:pPr>
        <w:spacing w:after="0"/>
        <w:ind w:left="0"/>
        <w:jc w:val="both"/>
      </w:pPr>
      <w:r>
        <w:rPr>
          <w:rFonts w:ascii="Times New Roman"/>
          <w:b w:val="false"/>
          <w:i w:val="false"/>
          <w:color w:val="000000"/>
          <w:sz w:val="28"/>
        </w:rPr>
        <w:t>** Для подвижных РЭС УКВ-радиосвязи проведение расчетов и оформление заключения экспертизы ЭМС РЭС не требуется;</w:t>
      </w:r>
    </w:p>
    <w:p>
      <w:pPr>
        <w:spacing w:after="0"/>
        <w:ind w:left="0"/>
        <w:jc w:val="both"/>
      </w:pPr>
      <w:r>
        <w:rPr>
          <w:rFonts w:ascii="Times New Roman"/>
          <w:b w:val="false"/>
          <w:i w:val="false"/>
          <w:color w:val="000000"/>
          <w:sz w:val="28"/>
        </w:rPr>
        <w:t>*** Для VSAT-станций, работающих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p>
      <w:pPr>
        <w:spacing w:after="0"/>
        <w:ind w:left="0"/>
        <w:jc w:val="both"/>
      </w:pPr>
      <w:r>
        <w:rPr>
          <w:rFonts w:ascii="Times New Roman"/>
          <w:b w:val="false"/>
          <w:i w:val="false"/>
          <w:color w:val="000000"/>
          <w:sz w:val="28"/>
        </w:rPr>
        <w:t>Использование присвоенных радиочастот для VSAT-станций должно осуществляться без претензий на помехи от РЭС различного назначения, а также не должно ограничивать функционирование действующих РЭС других назначений, частотные присвоения которым присвоены (назначены) в установленном порядке.</w:t>
      </w:r>
    </w:p>
    <w:p>
      <w:pPr>
        <w:spacing w:after="0"/>
        <w:ind w:left="0"/>
        <w:jc w:val="both"/>
      </w:pPr>
      <w:r>
        <w:rPr>
          <w:rFonts w:ascii="Times New Roman"/>
          <w:b w:val="false"/>
          <w:i w:val="false"/>
          <w:color w:val="000000"/>
          <w:sz w:val="28"/>
        </w:rPr>
        <w:t>В случае установления факта создания недопустимых помех со стороны, введенной в эксплуатацию VSAT-станций, ее владельцам необходимо принять меры по устранению помех и обеспечению ЭМС своей станции с РЭС других назначений в районе их совместного использования;</w:t>
      </w:r>
    </w:p>
    <w:p>
      <w:pPr>
        <w:spacing w:after="0"/>
        <w:ind w:left="0"/>
        <w:jc w:val="both"/>
      </w:pPr>
      <w:r>
        <w:rPr>
          <w:rFonts w:ascii="Times New Roman"/>
          <w:b w:val="false"/>
          <w:i w:val="false"/>
          <w:color w:val="000000"/>
          <w:sz w:val="28"/>
        </w:rPr>
        <w:t>Проведение расчета ЭМС для VSAT-станций и оформление заключения экспертизы ЭМС сохраняется, за исключением VSAT-станций с HUB-технологией, с мощностью передатчика 2Вт и менее, ЭИИМ 50 дБВт и менее, диаметр антенн 2,4 метра и менее, работающих с космическими объектами, наземный комплекс управления которых расположен на территории Содружества Независимых Государств.</w:t>
      </w:r>
    </w:p>
    <w:p>
      <w:pPr>
        <w:spacing w:after="0"/>
        <w:ind w:left="0"/>
        <w:jc w:val="both"/>
      </w:pPr>
      <w:r>
        <w:rPr>
          <w:rFonts w:ascii="Times New Roman"/>
          <w:b w:val="false"/>
          <w:i w:val="false"/>
          <w:color w:val="000000"/>
          <w:sz w:val="28"/>
        </w:rPr>
        <w:t>Подпунктом 5</w:t>
      </w:r>
      <w:r>
        <w:rPr>
          <w:rFonts w:ascii="Times New Roman"/>
          <w:b w:val="false"/>
          <w:i w:val="false"/>
          <w:color w:val="000000"/>
          <w:sz w:val="28"/>
        </w:rPr>
        <w:t xml:space="preserve"> пункта 6 статьи 23 Закона Республики Казахстан "О национальной безопасности Республики Казахстан" запрещается создание и эксплуатация на территории Республики Казахстан сетей связи, центр управления которыми расположен за ее пределами.</w:t>
      </w:r>
    </w:p>
    <w:p>
      <w:pPr>
        <w:spacing w:after="0"/>
        <w:ind w:left="0"/>
        <w:jc w:val="both"/>
      </w:pPr>
      <w:r>
        <w:rPr>
          <w:rFonts w:ascii="Times New Roman"/>
          <w:b w:val="false"/>
          <w:i w:val="false"/>
          <w:color w:val="000000"/>
          <w:sz w:val="28"/>
        </w:rPr>
        <w:t>ВЧУ – высокочастотные устройства;</w:t>
      </w:r>
    </w:p>
    <w:p>
      <w:pPr>
        <w:spacing w:after="0"/>
        <w:ind w:left="0"/>
        <w:jc w:val="both"/>
      </w:pPr>
      <w:r>
        <w:rPr>
          <w:rFonts w:ascii="Times New Roman"/>
          <w:b w:val="false"/>
          <w:i w:val="false"/>
          <w:color w:val="000000"/>
          <w:sz w:val="28"/>
        </w:rPr>
        <w:t>ДВ – длинные волны;</w:t>
      </w:r>
    </w:p>
    <w:p>
      <w:pPr>
        <w:spacing w:after="0"/>
        <w:ind w:left="0"/>
        <w:jc w:val="both"/>
      </w:pPr>
      <w:r>
        <w:rPr>
          <w:rFonts w:ascii="Times New Roman"/>
          <w:b w:val="false"/>
          <w:i w:val="false"/>
          <w:color w:val="000000"/>
          <w:sz w:val="28"/>
        </w:rPr>
        <w:t>КВ – короткие волны;</w:t>
      </w:r>
    </w:p>
    <w:p>
      <w:pPr>
        <w:spacing w:after="0"/>
        <w:ind w:left="0"/>
        <w:jc w:val="both"/>
      </w:pPr>
      <w:r>
        <w:rPr>
          <w:rFonts w:ascii="Times New Roman"/>
          <w:b w:val="false"/>
          <w:i w:val="false"/>
          <w:color w:val="000000"/>
          <w:sz w:val="28"/>
        </w:rPr>
        <w:t>РЧС – радиочастотный спектр;</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СВ – средние волны;</w:t>
      </w:r>
    </w:p>
    <w:p>
      <w:pPr>
        <w:spacing w:after="0"/>
        <w:ind w:left="0"/>
        <w:jc w:val="both"/>
      </w:pPr>
      <w:r>
        <w:rPr>
          <w:rFonts w:ascii="Times New Roman"/>
          <w:b w:val="false"/>
          <w:i w:val="false"/>
          <w:color w:val="000000"/>
          <w:sz w:val="28"/>
        </w:rPr>
        <w:t>УKB – ультракороткие волны;</w:t>
      </w:r>
    </w:p>
    <w:p>
      <w:pPr>
        <w:spacing w:after="0"/>
        <w:ind w:left="0"/>
        <w:jc w:val="both"/>
      </w:pPr>
      <w:r>
        <w:rPr>
          <w:rFonts w:ascii="Times New Roman"/>
          <w:b w:val="false"/>
          <w:i w:val="false"/>
          <w:color w:val="000000"/>
          <w:sz w:val="28"/>
        </w:rPr>
        <w:t>ЭИИМ – эффективная изотропная излучаемая мощность;</w:t>
      </w:r>
    </w:p>
    <w:p>
      <w:pPr>
        <w:spacing w:after="0"/>
        <w:ind w:left="0"/>
        <w:jc w:val="both"/>
      </w:pPr>
      <w:r>
        <w:rPr>
          <w:rFonts w:ascii="Times New Roman"/>
          <w:b w:val="false"/>
          <w:i w:val="false"/>
          <w:color w:val="000000"/>
          <w:sz w:val="28"/>
        </w:rPr>
        <w:t>ЭМС – электромагнитная совместимость;</w:t>
      </w:r>
    </w:p>
    <w:p>
      <w:pPr>
        <w:spacing w:after="0"/>
        <w:ind w:left="0"/>
        <w:jc w:val="both"/>
      </w:pPr>
      <w:r>
        <w:rPr>
          <w:rFonts w:ascii="Times New Roman"/>
          <w:b w:val="false"/>
          <w:i w:val="false"/>
          <w:color w:val="000000"/>
          <w:sz w:val="28"/>
        </w:rPr>
        <w:t>HUB – центральная станция;</w:t>
      </w:r>
    </w:p>
    <w:p>
      <w:pPr>
        <w:spacing w:after="0"/>
        <w:ind w:left="0"/>
        <w:jc w:val="both"/>
      </w:pPr>
      <w:r>
        <w:rPr>
          <w:rFonts w:ascii="Times New Roman"/>
          <w:b w:val="false"/>
          <w:i w:val="false"/>
          <w:color w:val="000000"/>
          <w:sz w:val="28"/>
        </w:rPr>
        <w:t>VSAT – Very Small Aperture Terminal</w:t>
      </w:r>
    </w:p>
    <w:p>
      <w:pPr>
        <w:spacing w:after="0"/>
        <w:ind w:left="0"/>
        <w:jc w:val="both"/>
      </w:pPr>
      <w:r>
        <w:rPr>
          <w:rFonts w:ascii="Times New Roman"/>
          <w:b w:val="false"/>
          <w:i w:val="false"/>
          <w:color w:val="000000"/>
          <w:sz w:val="28"/>
        </w:rPr>
        <w:t>(земная станция спутниковой связи с малой апертурой антенны);</w:t>
      </w:r>
    </w:p>
    <w:p>
      <w:pPr>
        <w:spacing w:after="0"/>
        <w:ind w:left="0"/>
        <w:jc w:val="both"/>
      </w:pPr>
      <w:r>
        <w:rPr>
          <w:rFonts w:ascii="Times New Roman"/>
          <w:b w:val="false"/>
          <w:i w:val="false"/>
          <w:color w:val="000000"/>
          <w:sz w:val="28"/>
        </w:rPr>
        <w:t>WLL – wireless local loop (беспроводной абонентский доступ);</w:t>
      </w:r>
    </w:p>
    <w:p>
      <w:pPr>
        <w:spacing w:after="0"/>
        <w:ind w:left="0"/>
        <w:jc w:val="both"/>
      </w:pPr>
      <w:r>
        <w:rPr>
          <w:rFonts w:ascii="Times New Roman"/>
          <w:b w:val="false"/>
          <w:i w:val="false"/>
          <w:color w:val="000000"/>
          <w:sz w:val="28"/>
        </w:rPr>
        <w:t>Единицы измерения:</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дБВт – децибел-ватт.";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5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"Примечание: основные сокращения, указанные в перечне РЭС и ВЧУ, на которые требуется подача уведомления о начале или прекращении эксплуатации РЭС и ВЧУ:</w:t>
      </w:r>
    </w:p>
    <w:p>
      <w:pPr>
        <w:spacing w:after="0"/>
        <w:ind w:left="0"/>
        <w:jc w:val="both"/>
      </w:pPr>
      <w:r>
        <w:rPr>
          <w:rFonts w:ascii="Times New Roman"/>
          <w:b w:val="false"/>
          <w:i w:val="false"/>
          <w:color w:val="000000"/>
          <w:sz w:val="28"/>
        </w:rPr>
        <w:t xml:space="preserve">*Таблица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p>
      <w:pPr>
        <w:spacing w:after="0"/>
        <w:ind w:left="0"/>
        <w:jc w:val="both"/>
      </w:pPr>
      <w:r>
        <w:rPr>
          <w:rFonts w:ascii="Times New Roman"/>
          <w:b w:val="false"/>
          <w:i w:val="false"/>
          <w:color w:val="000000"/>
          <w:sz w:val="28"/>
        </w:rPr>
        <w:t>**на фемтосоты не требуется получение разрешения на эксплуатацию РЭС и ВЧУ;</w:t>
      </w:r>
    </w:p>
    <w:p>
      <w:pPr>
        <w:spacing w:after="0"/>
        <w:ind w:left="0"/>
        <w:jc w:val="both"/>
      </w:pPr>
      <w:r>
        <w:rPr>
          <w:rFonts w:ascii="Times New Roman"/>
          <w:b w:val="false"/>
          <w:i w:val="false"/>
          <w:color w:val="000000"/>
          <w:sz w:val="28"/>
        </w:rPr>
        <w:t>***для VSAT-станций, работающие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p>
      <w:pPr>
        <w:spacing w:after="0"/>
        <w:ind w:left="0"/>
        <w:jc w:val="both"/>
      </w:pPr>
      <w:r>
        <w:rPr>
          <w:rFonts w:ascii="Times New Roman"/>
          <w:b w:val="false"/>
          <w:i w:val="false"/>
          <w:color w:val="000000"/>
          <w:sz w:val="28"/>
        </w:rPr>
        <w:t>ВЧУ – высокочастотные устройства;</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ДВ – длинные волны;</w:t>
      </w:r>
    </w:p>
    <w:p>
      <w:pPr>
        <w:spacing w:after="0"/>
        <w:ind w:left="0"/>
        <w:jc w:val="both"/>
      </w:pPr>
      <w:r>
        <w:rPr>
          <w:rFonts w:ascii="Times New Roman"/>
          <w:b w:val="false"/>
          <w:i w:val="false"/>
          <w:color w:val="000000"/>
          <w:sz w:val="28"/>
        </w:rPr>
        <w:t>КВ – короткие волны;</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СВ – средние волны;</w:t>
      </w:r>
    </w:p>
    <w:p>
      <w:pPr>
        <w:spacing w:after="0"/>
        <w:ind w:left="0"/>
        <w:jc w:val="both"/>
      </w:pPr>
      <w:r>
        <w:rPr>
          <w:rFonts w:ascii="Times New Roman"/>
          <w:b w:val="false"/>
          <w:i w:val="false"/>
          <w:color w:val="000000"/>
          <w:sz w:val="28"/>
        </w:rPr>
        <w:t>УKB – ультракороткие волны;</w:t>
      </w:r>
    </w:p>
    <w:p>
      <w:pPr>
        <w:spacing w:after="0"/>
        <w:ind w:left="0"/>
        <w:jc w:val="both"/>
      </w:pPr>
      <w:r>
        <w:rPr>
          <w:rFonts w:ascii="Times New Roman"/>
          <w:b w:val="false"/>
          <w:i w:val="false"/>
          <w:color w:val="000000"/>
          <w:sz w:val="28"/>
        </w:rPr>
        <w:t>HUB – центральная станция;</w:t>
      </w:r>
    </w:p>
    <w:p>
      <w:pPr>
        <w:spacing w:after="0"/>
        <w:ind w:left="0"/>
        <w:jc w:val="both"/>
      </w:pPr>
      <w:r>
        <w:rPr>
          <w:rFonts w:ascii="Times New Roman"/>
          <w:b w:val="false"/>
          <w:i w:val="false"/>
          <w:color w:val="000000"/>
          <w:sz w:val="28"/>
        </w:rPr>
        <w:t>DECT – Digital Enhanced Cordless Telecommunication</w:t>
      </w:r>
    </w:p>
    <w:p>
      <w:pPr>
        <w:spacing w:after="0"/>
        <w:ind w:left="0"/>
        <w:jc w:val="both"/>
      </w:pPr>
      <w:r>
        <w:rPr>
          <w:rFonts w:ascii="Times New Roman"/>
          <w:b w:val="false"/>
          <w:i w:val="false"/>
          <w:color w:val="000000"/>
          <w:sz w:val="28"/>
        </w:rPr>
        <w:t>(Технология улучшенной цифровой беспроводной связи);</w:t>
      </w:r>
    </w:p>
    <w:p>
      <w:pPr>
        <w:spacing w:after="0"/>
        <w:ind w:left="0"/>
        <w:jc w:val="both"/>
      </w:pPr>
      <w:r>
        <w:rPr>
          <w:rFonts w:ascii="Times New Roman"/>
          <w:b w:val="false"/>
          <w:i w:val="false"/>
          <w:color w:val="000000"/>
          <w:sz w:val="28"/>
        </w:rPr>
        <w:t>SCPC – Single Channel per Carrier (один канал на несущую).</w:t>
      </w:r>
    </w:p>
    <w:p>
      <w:pPr>
        <w:spacing w:after="0"/>
        <w:ind w:left="0"/>
        <w:jc w:val="both"/>
      </w:pPr>
      <w:r>
        <w:rPr>
          <w:rFonts w:ascii="Times New Roman"/>
          <w:b w:val="false"/>
          <w:i w:val="false"/>
          <w:color w:val="000000"/>
          <w:sz w:val="28"/>
        </w:rPr>
        <w:t>VSAT – Very Small Aperture Terminal</w:t>
      </w:r>
    </w:p>
    <w:p>
      <w:pPr>
        <w:spacing w:after="0"/>
        <w:ind w:left="0"/>
        <w:jc w:val="both"/>
      </w:pPr>
      <w:r>
        <w:rPr>
          <w:rFonts w:ascii="Times New Roman"/>
          <w:b w:val="false"/>
          <w:i w:val="false"/>
          <w:color w:val="000000"/>
          <w:sz w:val="28"/>
        </w:rPr>
        <w:t>(наземная станция спутниковой связи с малой апертурой);</w:t>
      </w:r>
    </w:p>
    <w:p>
      <w:pPr>
        <w:spacing w:after="0"/>
        <w:ind w:left="0"/>
        <w:jc w:val="both"/>
      </w:pPr>
      <w:r>
        <w:rPr>
          <w:rFonts w:ascii="Times New Roman"/>
          <w:b w:val="false"/>
          <w:i w:val="false"/>
          <w:color w:val="000000"/>
          <w:sz w:val="28"/>
        </w:rPr>
        <w:t>WLL – Wireless local loop (система беспроводного радиодоступа).".</w:t>
      </w:r>
    </w:p>
    <w:bookmarkStart w:name="z53" w:id="40"/>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40"/>
    <w:bookmarkStart w:name="z54"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5"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2"/>
    <w:bookmarkStart w:name="z56" w:id="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43"/>
    <w:bookmarkStart w:name="z57" w:id="4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44"/>
    <w:bookmarkStart w:name="z58" w:id="4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60" w:id="46"/>
      <w:r>
        <w:rPr>
          <w:rFonts w:ascii="Times New Roman"/>
          <w:b w:val="false"/>
          <w:i w:val="false"/>
          <w:color w:val="000000"/>
          <w:sz w:val="28"/>
        </w:rPr>
        <w:t>
      "СОГЛАСОВАНО"</w:t>
      </w:r>
    </w:p>
    <w:bookmarkEnd w:id="4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1" w:id="47"/>
      <w:r>
        <w:rPr>
          <w:rFonts w:ascii="Times New Roman"/>
          <w:b w:val="false"/>
          <w:i w:val="false"/>
          <w:color w:val="000000"/>
          <w:sz w:val="28"/>
        </w:rPr>
        <w:t>
      "СОГЛАСОВАНО"</w:t>
      </w:r>
    </w:p>
    <w:bookmarkEnd w:id="47"/>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48"/>
      <w:r>
        <w:rPr>
          <w:rFonts w:ascii="Times New Roman"/>
          <w:b w:val="false"/>
          <w:i w:val="false"/>
          <w:color w:val="000000"/>
          <w:sz w:val="28"/>
        </w:rPr>
        <w:t>
      "СОГЛАСОВАНО"</w:t>
      </w:r>
    </w:p>
    <w:bookmarkEnd w:id="48"/>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9"/>
      <w:r>
        <w:rPr>
          <w:rFonts w:ascii="Times New Roman"/>
          <w:b w:val="false"/>
          <w:i w:val="false"/>
          <w:color w:val="000000"/>
          <w:sz w:val="28"/>
        </w:rPr>
        <w:t>
      "СОГЛАСОВАНО"</w:t>
      </w:r>
    </w:p>
    <w:bookmarkEnd w:id="4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4" w:id="50"/>
      <w:r>
        <w:rPr>
          <w:rFonts w:ascii="Times New Roman"/>
          <w:b w:val="false"/>
          <w:i w:val="false"/>
          <w:color w:val="000000"/>
          <w:sz w:val="28"/>
        </w:rPr>
        <w:t>
      "СОГЛАСОВАНО"</w:t>
      </w:r>
    </w:p>
    <w:bookmarkEnd w:id="5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2024 года № 246/НҚ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аннулирование, продление и переоформление разрешения на использование радиочастотного спектра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разрешения на использование радиочастотного спектра (далее – РЧС) Республики Казахстан – 20 (двадцать) рабочих дней, в том числе разрешение судовой станции на использование радиочастотного спектра – 5 (пять) рабочих дней. При случае проведения международной координации срок продлевается не более чем на шесть месяцев.</w:t>
            </w:r>
          </w:p>
          <w:p>
            <w:pPr>
              <w:spacing w:after="20"/>
              <w:ind w:left="20"/>
              <w:jc w:val="both"/>
            </w:pPr>
            <w:r>
              <w:rPr>
                <w:rFonts w:ascii="Times New Roman"/>
                <w:b w:val="false"/>
                <w:i w:val="false"/>
                <w:color w:val="000000"/>
                <w:sz w:val="20"/>
              </w:rPr>
              <w:t>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20"/>
              <w:ind w:left="20"/>
              <w:jc w:val="both"/>
            </w:pPr>
            <w:r>
              <w:rPr>
                <w:rFonts w:ascii="Times New Roman"/>
                <w:b w:val="false"/>
                <w:i w:val="false"/>
                <w:color w:val="000000"/>
                <w:sz w:val="20"/>
              </w:rPr>
              <w:t>3) переоформление разрешения на использование РЧС Республики Казахстан – 10 (десять) рабочих дней;</w:t>
            </w:r>
          </w:p>
          <w:p>
            <w:pPr>
              <w:spacing w:after="20"/>
              <w:ind w:left="20"/>
              <w:jc w:val="both"/>
            </w:pPr>
            <w:r>
              <w:rPr>
                <w:rFonts w:ascii="Times New Roman"/>
                <w:b w:val="false"/>
                <w:i w:val="false"/>
                <w:color w:val="000000"/>
                <w:sz w:val="20"/>
              </w:rPr>
              <w:t>4) аннулирование разрешения на использование РЧС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использование РЧС Республики Казахстан,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Правилам; аннулирование, продление, переоформление разрешения на использование РЧС Республики Казахстан;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Результат оказания государственной услуги направляется в "личный кабинет" услугополучателя в форме электронного документа, удостоверенного посредством электронно цифровой подписи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на платной основе.</w:t>
            </w:r>
          </w:p>
          <w:p>
            <w:pPr>
              <w:spacing w:after="20"/>
              <w:ind w:left="20"/>
              <w:jc w:val="both"/>
            </w:pPr>
            <w:r>
              <w:rPr>
                <w:rFonts w:ascii="Times New Roman"/>
                <w:b w:val="false"/>
                <w:i w:val="false"/>
                <w:color w:val="000000"/>
                <w:sz w:val="20"/>
              </w:rPr>
              <w:t xml:space="preserve">В приложении к настоящему перечню основных требований к оказанию государственной услуги указаны ставки сбора за выдачу разрешения на использование радиочастотного спектра телевизионным и радиовещательным организациям, а также годовые ставки платы для видов радиосвязи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Оплата осуществляется в наличной и безналичной форме через банки второго уровня и организации, осуществляющие отдельные виды банковских операций. Оплата также осуществляется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13.00 часов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цифрового развития, инноваций и аэрокосмической промышленности Республики Казахстан: www.gov.egov.kz/memleket/entities/mdai, в разделе "Государственные услуги";</w:t>
            </w:r>
          </w:p>
          <w:p>
            <w:pPr>
              <w:spacing w:after="20"/>
              <w:ind w:left="20"/>
              <w:jc w:val="both"/>
            </w:pPr>
            <w:r>
              <w:rPr>
                <w:rFonts w:ascii="Times New Roman"/>
                <w:b w:val="false"/>
                <w:i w:val="false"/>
                <w:color w:val="000000"/>
                <w:sz w:val="20"/>
              </w:rPr>
              <w:t>2) веб-портале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выдача разрешения на использование РЧС: заявка по форме, согласно приложению 4 к настоящим Правилам;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В том числе, к пояснительной записке прилагаются: для организации спутниковой связи с HUB-станцией, копия письма оператора спутниковой связи с указанием номиналов (полосы) выделяемых радиочастот, эффективная изотропно излучаемая мощность, класса излучения, типа VSAT-станций; для эксплуатации негеостационарных спутников на территории Республики Казахстан,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 для целей телерадиовещания положительный результат проведенного конкурса по распределению полос частот, радиочастот (радиочастотных каналов); для дипломатических и консульских представительств иностранных государств на территории Республики Казахстан, копия письма Министерства иностранных дел Республики Казахстан о согласия на получение разрешения на РЧС на территории Республики Казахстан;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радиоэлектронное средство системы беспроводной радиосвязи (WLL), на стационарное радиоэлектронное средство УКВ, КВ, транкинговой радиосвязи и сетейпередачи данных) и морской служб (береговые, радиолокационные станции, радиомаяки) согласно </w:t>
            </w:r>
            <w:r>
              <w:rPr>
                <w:rFonts w:ascii="Times New Roman"/>
                <w:b w:val="false"/>
                <w:i w:val="false"/>
                <w:color w:val="000000"/>
                <w:sz w:val="20"/>
              </w:rPr>
              <w:t>приложению 5</w:t>
            </w:r>
            <w:r>
              <w:rPr>
                <w:rFonts w:ascii="Times New Roman"/>
                <w:b w:val="false"/>
                <w:i w:val="false"/>
                <w:color w:val="000000"/>
                <w:sz w:val="20"/>
              </w:rPr>
              <w:t xml:space="preserve">, либо анкета на радиорелейную линию согласно приложению 6, либо анкета на телерадиовещательный передатчик согласно </w:t>
            </w:r>
            <w:r>
              <w:rPr>
                <w:rFonts w:ascii="Times New Roman"/>
                <w:b w:val="false"/>
                <w:i w:val="false"/>
                <w:color w:val="000000"/>
                <w:sz w:val="20"/>
              </w:rPr>
              <w:t>приложению 7</w:t>
            </w:r>
            <w:r>
              <w:rPr>
                <w:rFonts w:ascii="Times New Roman"/>
                <w:b w:val="false"/>
                <w:i w:val="false"/>
                <w:color w:val="000000"/>
                <w:sz w:val="20"/>
              </w:rPr>
              <w:t xml:space="preserve"> либо анкета на земную станцию согласно </w:t>
            </w:r>
            <w:r>
              <w:rPr>
                <w:rFonts w:ascii="Times New Roman"/>
                <w:b w:val="false"/>
                <w:i w:val="false"/>
                <w:color w:val="000000"/>
                <w:sz w:val="20"/>
              </w:rPr>
              <w:t xml:space="preserve">приложению 8 </w:t>
            </w:r>
            <w:r>
              <w:rPr>
                <w:rFonts w:ascii="Times New Roman"/>
                <w:b w:val="false"/>
                <w:i w:val="false"/>
                <w:color w:val="000000"/>
                <w:sz w:val="20"/>
              </w:rPr>
              <w:t xml:space="preserve"> к настоящим Правилам (для судовых станций заполненная анкета с техническими данными по форме, согласно приложению 9 к настоящим Правил).</w:t>
            </w:r>
          </w:p>
          <w:p>
            <w:pPr>
              <w:spacing w:after="20"/>
              <w:ind w:left="20"/>
              <w:jc w:val="both"/>
            </w:pPr>
            <w:r>
              <w:rPr>
                <w:rFonts w:ascii="Times New Roman"/>
                <w:b w:val="false"/>
                <w:i w:val="false"/>
                <w:color w:val="000000"/>
                <w:sz w:val="20"/>
              </w:rPr>
              <w:t>2) продление разрешения на использование РЧС: 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20"/>
              <w:ind w:left="20"/>
              <w:jc w:val="both"/>
            </w:pPr>
            <w:r>
              <w:rPr>
                <w:rFonts w:ascii="Times New Roman"/>
                <w:b w:val="false"/>
                <w:i w:val="false"/>
                <w:color w:val="000000"/>
                <w:sz w:val="20"/>
              </w:rPr>
              <w:t xml:space="preserve">3) переоформление разрешения на РЧС: заявка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пояснительная записка.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 копия разрешения на РЧС (при получении на бумажном носителе); при получении разрешения на РЧС в электронном виде (посредством портала), копия разрешения на РЧС не требуется; документ, подтверждающий правопреемство, - в случае реорганизации юридического лица;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 согласно </w:t>
            </w:r>
            <w:r>
              <w:rPr>
                <w:rFonts w:ascii="Times New Roman"/>
                <w:b w:val="false"/>
                <w:i w:val="false"/>
                <w:color w:val="000000"/>
                <w:sz w:val="20"/>
              </w:rPr>
              <w:t>приложению 5</w:t>
            </w:r>
            <w:r>
              <w:rPr>
                <w:rFonts w:ascii="Times New Roman"/>
                <w:b w:val="false"/>
                <w:i w:val="false"/>
                <w:color w:val="000000"/>
                <w:sz w:val="20"/>
              </w:rPr>
              <w:t xml:space="preserve">, либо анкета на радиорелейную линию согласно </w:t>
            </w:r>
            <w:r>
              <w:rPr>
                <w:rFonts w:ascii="Times New Roman"/>
                <w:b w:val="false"/>
                <w:i w:val="false"/>
                <w:color w:val="000000"/>
                <w:sz w:val="20"/>
              </w:rPr>
              <w:t>приложению 6</w:t>
            </w:r>
            <w:r>
              <w:rPr>
                <w:rFonts w:ascii="Times New Roman"/>
                <w:b w:val="false"/>
                <w:i w:val="false"/>
                <w:color w:val="000000"/>
                <w:sz w:val="20"/>
              </w:rPr>
              <w:t xml:space="preserve">, либо анкета на телерадиовещательный передатчик согласно </w:t>
            </w:r>
            <w:r>
              <w:rPr>
                <w:rFonts w:ascii="Times New Roman"/>
                <w:b w:val="false"/>
                <w:i w:val="false"/>
                <w:color w:val="000000"/>
                <w:sz w:val="20"/>
              </w:rPr>
              <w:t>приложению 7</w:t>
            </w:r>
            <w:r>
              <w:rPr>
                <w:rFonts w:ascii="Times New Roman"/>
                <w:b w:val="false"/>
                <w:i w:val="false"/>
                <w:color w:val="000000"/>
                <w:sz w:val="20"/>
              </w:rPr>
              <w:t xml:space="preserve"> либо анкета на земную станцию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 документ, подтверждающий уплату в государственный бюджет за использование РЧС. В случае переоформления разрешений на РЧС, полученных в электронном виде (посредством портала), анкета на РЭС не требуется;</w:t>
            </w:r>
          </w:p>
          <w:p>
            <w:pPr>
              <w:spacing w:after="20"/>
              <w:ind w:left="20"/>
              <w:jc w:val="both"/>
            </w:pPr>
            <w:r>
              <w:rPr>
                <w:rFonts w:ascii="Times New Roman"/>
                <w:b w:val="false"/>
                <w:i w:val="false"/>
                <w:color w:val="000000"/>
                <w:sz w:val="20"/>
              </w:rPr>
              <w:t>4) аннулирование разрешения на РЧС: заявление в произвольной форме с указанием причины отказа и даты аннулирования разрешения на РЧС; разрешение на РЧС (в случае получения разрешения на РЧС в электронном виде посредством Портала, данный документ не требуется); документ, подтверждающий уплату в государственный бюджет за использование РЧС по регионам до момента подачи заявки, в соответствии с выставленным извещением.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заявленной полосы частот, радиочастоты (радиочастотного канала) национальной Таблице распределения полос частот;</w:t>
            </w:r>
          </w:p>
          <w:p>
            <w:pPr>
              <w:spacing w:after="20"/>
              <w:ind w:left="20"/>
              <w:jc w:val="both"/>
            </w:pPr>
            <w:r>
              <w:rPr>
                <w:rFonts w:ascii="Times New Roman"/>
                <w:b w:val="false"/>
                <w:i w:val="false"/>
                <w:color w:val="000000"/>
                <w:sz w:val="20"/>
              </w:rPr>
              <w:t>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p>
          <w:p>
            <w:pPr>
              <w:spacing w:after="20"/>
              <w:ind w:left="20"/>
              <w:jc w:val="both"/>
            </w:pPr>
            <w:r>
              <w:rPr>
                <w:rFonts w:ascii="Times New Roman"/>
                <w:b w:val="false"/>
                <w:i w:val="false"/>
                <w:color w:val="000000"/>
                <w:sz w:val="20"/>
              </w:rPr>
              <w:t>3)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p>
            <w:pPr>
              <w:spacing w:after="20"/>
              <w:ind w:left="20"/>
              <w:jc w:val="both"/>
            </w:pPr>
            <w:r>
              <w:rPr>
                <w:rFonts w:ascii="Times New Roman"/>
                <w:b w:val="false"/>
                <w:i w:val="false"/>
                <w:color w:val="000000"/>
                <w:sz w:val="20"/>
              </w:rPr>
              <w:t>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5) отсутствие соответствующей лицензии на вид предпринимательской деятельности в области связи с использованием радиочастот, выдаваемой лицензиаром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www.gov.egov.kz/memleket/entities/mdai,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аннулирование,</w:t>
            </w:r>
            <w:r>
              <w:br/>
            </w:r>
            <w:r>
              <w:rPr>
                <w:rFonts w:ascii="Times New Roman"/>
                <w:b w:val="false"/>
                <w:i w:val="false"/>
                <w:color w:val="000000"/>
                <w:sz w:val="20"/>
              </w:rPr>
              <w:t>продление и переоформление</w:t>
            </w:r>
            <w:r>
              <w:br/>
            </w:r>
            <w:r>
              <w:rPr>
                <w:rFonts w:ascii="Times New Roman"/>
                <w:b w:val="false"/>
                <w:i w:val="false"/>
                <w:color w:val="000000"/>
                <w:sz w:val="20"/>
              </w:rPr>
              <w:t>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bookmarkStart w:name="z68" w:id="51"/>
    <w:p>
      <w:pPr>
        <w:spacing w:after="0"/>
        <w:ind w:left="0"/>
        <w:jc w:val="left"/>
      </w:pPr>
      <w:r>
        <w:rPr>
          <w:rFonts w:ascii="Times New Roman"/>
          <w:b/>
          <w:i w:val="false"/>
          <w:color w:val="000000"/>
        </w:rPr>
        <w:t xml:space="preserve"> Ставки сбора за выдачу разрешения на использование радиочастотного спектра телевизионным и радиовещательным организациям</w:t>
      </w:r>
    </w:p>
    <w:bookmarkEnd w:id="51"/>
    <w:bookmarkStart w:name="z69" w:id="52"/>
    <w:p>
      <w:pPr>
        <w:spacing w:after="0"/>
        <w:ind w:left="0"/>
        <w:jc w:val="both"/>
      </w:pPr>
      <w:r>
        <w:rPr>
          <w:rFonts w:ascii="Times New Roman"/>
          <w:b w:val="false"/>
          <w:i w:val="false"/>
          <w:color w:val="000000"/>
          <w:sz w:val="28"/>
        </w:rPr>
        <w:t>
      1) для телевидения с метровым диапазоном радиочастот: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bookmarkStart w:name="z70" w:id="53"/>
    <w:p>
      <w:pPr>
        <w:spacing w:after="0"/>
        <w:ind w:left="0"/>
        <w:jc w:val="both"/>
      </w:pPr>
      <w:r>
        <w:rPr>
          <w:rFonts w:ascii="Times New Roman"/>
          <w:b w:val="false"/>
          <w:i w:val="false"/>
          <w:color w:val="000000"/>
          <w:sz w:val="28"/>
        </w:rPr>
        <w:t>
      2) для телевидения с дециметровым диапазоном радиочастот: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bookmarkStart w:name="z71" w:id="54"/>
    <w:p>
      <w:pPr>
        <w:spacing w:after="0"/>
        <w:ind w:left="0"/>
        <w:jc w:val="both"/>
      </w:pPr>
      <w:r>
        <w:rPr>
          <w:rFonts w:ascii="Times New Roman"/>
          <w:b w:val="false"/>
          <w:i w:val="false"/>
          <w:color w:val="000000"/>
          <w:sz w:val="28"/>
        </w:rPr>
        <w:t>
      3) для радиовещания с УКВ ЧМ (FM) – диапазоном радиочастот: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72" w:id="55"/>
    <w:p>
      <w:pPr>
        <w:spacing w:after="0"/>
        <w:ind w:left="0"/>
        <w:jc w:val="both"/>
      </w:pPr>
      <w:r>
        <w:rPr>
          <w:rFonts w:ascii="Times New Roman"/>
          <w:b w:val="false"/>
          <w:i w:val="false"/>
          <w:color w:val="000000"/>
          <w:sz w:val="28"/>
        </w:rPr>
        <w:t>
      4) для радиовещания с KB, СВ, ДВ – диапазоном радиочастот: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10000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100000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73" w:id="56"/>
    <w:p>
      <w:pPr>
        <w:spacing w:after="0"/>
        <w:ind w:left="0"/>
        <w:jc w:val="both"/>
      </w:pPr>
      <w:r>
        <w:rPr>
          <w:rFonts w:ascii="Times New Roman"/>
          <w:b w:val="false"/>
          <w:i w:val="false"/>
          <w:color w:val="000000"/>
          <w:sz w:val="28"/>
        </w:rPr>
        <w:t>
      Годовые ставки платы для видов радиосвязи: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 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 до 50 Вт;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прием/100 кГц на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74" w:id="57"/>
      <w:r>
        <w:rPr>
          <w:rFonts w:ascii="Times New Roman"/>
          <w:b w:val="false"/>
          <w:i w:val="false"/>
          <w:color w:val="000000"/>
          <w:sz w:val="28"/>
        </w:rPr>
        <w:t>
      Примечание:</w:t>
      </w:r>
    </w:p>
    <w:bookmarkEnd w:id="57"/>
    <w:p>
      <w:pPr>
        <w:spacing w:after="0"/>
        <w:ind w:left="0"/>
        <w:jc w:val="both"/>
      </w:pPr>
      <w:r>
        <w:rPr>
          <w:rFonts w:ascii="Times New Roman"/>
          <w:b w:val="false"/>
          <w:i w:val="false"/>
          <w:color w:val="000000"/>
          <w:sz w:val="28"/>
        </w:rPr>
        <w:t>* - применяется для стандартов сотовой/мобильной связи GSM/DCS, CDMA, 3G/UMTS, 4G/LTE, 5G/IMT.</w:t>
      </w:r>
    </w:p>
    <w:p>
      <w:pPr>
        <w:spacing w:after="0"/>
        <w:ind w:left="0"/>
        <w:jc w:val="both"/>
      </w:pPr>
      <w:r>
        <w:rPr>
          <w:rFonts w:ascii="Times New Roman"/>
          <w:b w:val="false"/>
          <w:i w:val="false"/>
          <w:color w:val="000000"/>
          <w:sz w:val="28"/>
        </w:rPr>
        <w:t>** - сумма исчисленной годовой ставки платы за сотовую связь уменьшается на девяносто процентов, для операторов связи, принявших на себя обязательства по направлению самостоятельно или консолидировано, средства не менее высвобожденных от снижения соответствующей ставок плат, на финансирование проектов широкополосного Интернета в городской и сельской местностях.</w:t>
      </w:r>
    </w:p>
    <w:bookmarkStart w:name="z75" w:id="58"/>
    <w:p>
      <w:pPr>
        <w:spacing w:after="0"/>
        <w:ind w:left="0"/>
        <w:jc w:val="both"/>
      </w:pPr>
      <w:r>
        <w:rPr>
          <w:rFonts w:ascii="Times New Roman"/>
          <w:b w:val="false"/>
          <w:i w:val="false"/>
          <w:color w:val="000000"/>
          <w:sz w:val="28"/>
        </w:rPr>
        <w:t>
      Годовые ставки платы для цифрового эфирного телерадиовещания составляют: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Телевидение/дециметровый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2024 года № 246/НҚ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78" w:id="59"/>
    <w:p>
      <w:pPr>
        <w:spacing w:after="0"/>
        <w:ind w:left="0"/>
        <w:jc w:val="left"/>
      </w:pPr>
      <w:r>
        <w:rPr>
          <w:rFonts w:ascii="Times New Roman"/>
          <w:b/>
          <w:i w:val="false"/>
          <w:color w:val="000000"/>
        </w:rPr>
        <w:t xml:space="preserve"> Анкета на стационарное радиоэлектронное средство сухопутной подвижной</w:t>
      </w:r>
      <w:r>
        <w:br/>
      </w:r>
      <w:r>
        <w:rPr>
          <w:rFonts w:ascii="Times New Roman"/>
          <w:b/>
          <w:i w:val="false"/>
          <w:color w:val="000000"/>
        </w:rPr>
        <w:t>(на базовую станцию сотовой связи (2G, 3G, 4G, 5G) на радиоэлектронное средство</w:t>
      </w:r>
      <w:r>
        <w:br/>
      </w:r>
      <w:r>
        <w:rPr>
          <w:rFonts w:ascii="Times New Roman"/>
          <w:b/>
          <w:i w:val="false"/>
          <w:color w:val="000000"/>
        </w:rPr>
        <w:t>системы беспроводной радиосвязи (WLL), на стационарное радиоэлектронное средство</w:t>
      </w:r>
      <w:r>
        <w:br/>
      </w:r>
      <w:r>
        <w:rPr>
          <w:rFonts w:ascii="Times New Roman"/>
          <w:b/>
          <w:i w:val="false"/>
          <w:color w:val="000000"/>
        </w:rPr>
        <w:t>УКВ, КВ, транкинговой радиосвязи и сетей передачи данных) и морской служб</w:t>
      </w:r>
      <w:r>
        <w:br/>
      </w:r>
      <w:r>
        <w:rPr>
          <w:rFonts w:ascii="Times New Roman"/>
          <w:b/>
          <w:i w:val="false"/>
          <w:color w:val="000000"/>
        </w:rPr>
        <w:t>(береговые, радиолокационные станции, радиомаяки)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Общие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Территория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 (строение):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Общее количество секторов:*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Стандарт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Планируемый радиус зоны обслуживания,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Скорость передачи данных,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Дуплексный разнос,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Раздел 2. Технические данные</w:t>
            </w:r>
          </w:p>
          <w:bookmarkEnd w:id="6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 приемопередатчика:*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 приемопередатчика:*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Серийный номер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Чувствительность,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Вид модуляции:*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Класс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w:t>
                  </w:r>
                </w:p>
                <w:p>
                  <w:pPr>
                    <w:spacing w:after="20"/>
                    <w:ind w:left="20"/>
                    <w:jc w:val="both"/>
                  </w:pPr>
                  <w:r>
                    <w:rPr>
                      <w:rFonts w:ascii="Times New Roman"/>
                      <w:b w:val="false"/>
                      <w:i w:val="false"/>
                      <w:color w:val="000000"/>
                      <w:sz w:val="20"/>
                    </w:rPr>
                    <w:t>основную несущую:*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Избирательность по соседнему каналу,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Избирательность интермодуляционная,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Тип антенны:*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Направленность антенны:*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Номер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Производитель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Модель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Количество indoor антенн*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Коэффициент усиления, дБи*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Географические координаты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Географические координаты 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Азимут макс. излучения,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Высота подвеса антенны над уровнем Земли,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Угол места,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Потери в АФУ,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Мощность передатчика (на сектор),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приема (мин.граница),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приема (макс.граница),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(мин.граница), МГц*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(макс.граница),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приема, МГц* (каналы согласно частотному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передачи, МГц* (каналы согласно частотному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Идентификатор соты базовой станции* (Cell ID/CI)/Код зоны обслуживания (SAC)***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Поляризация:*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Идентификационные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Идентификационный номер базовой станций (BSIC)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сети (NCC):*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базовой станции (BCC):*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Идентификатор местоположения (LAI)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(MCC):*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мобильной сети (MNC):*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местности (LAC)/ Код зоны отслеживания (TAC):*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использование РЧС: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bookmarkStart w:name="z80" w:id="61"/>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61"/>
    <w:p>
      <w:pPr>
        <w:spacing w:after="0"/>
        <w:ind w:left="0"/>
        <w:jc w:val="both"/>
      </w:pP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 w:id="62"/>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подвижной радиосвязи:</w:t>
      </w:r>
    </w:p>
    <w:bookmarkEnd w:id="62"/>
    <w:p>
      <w:pPr>
        <w:spacing w:after="0"/>
        <w:ind w:left="0"/>
        <w:jc w:val="both"/>
      </w:pPr>
      <w:r>
        <w:rPr>
          <w:rFonts w:ascii="Times New Roman"/>
          <w:b w:val="false"/>
          <w:i w:val="false"/>
          <w:color w:val="000000"/>
          <w:sz w:val="28"/>
        </w:rPr>
        <w:t>* – обязательные поля к заполнению;</w:t>
      </w:r>
    </w:p>
    <w:p>
      <w:pPr>
        <w:spacing w:after="0"/>
        <w:ind w:left="0"/>
        <w:jc w:val="both"/>
      </w:pPr>
      <w:r>
        <w:rPr>
          <w:rFonts w:ascii="Times New Roman"/>
          <w:b w:val="false"/>
          <w:i w:val="false"/>
          <w:color w:val="000000"/>
          <w:sz w:val="28"/>
        </w:rPr>
        <w:t>** – каналы согласно частотному плану - GSM 900, GSM 1800, UMTS, CDMA 450, CDMA 800, LTE, Wi-Fi;</w:t>
      </w:r>
    </w:p>
    <w:p>
      <w:pPr>
        <w:spacing w:after="0"/>
        <w:ind w:left="0"/>
        <w:jc w:val="both"/>
      </w:pPr>
      <w:r>
        <w:rPr>
          <w:rFonts w:ascii="Times New Roman"/>
          <w:b w:val="false"/>
          <w:i w:val="false"/>
          <w:color w:val="000000"/>
          <w:sz w:val="28"/>
        </w:rPr>
        <w:t>*** – поля и разделы исключительно для базовых станций сотовой связи;</w:t>
      </w:r>
    </w:p>
    <w:p>
      <w:pPr>
        <w:spacing w:after="0"/>
        <w:ind w:left="0"/>
        <w:jc w:val="both"/>
      </w:pPr>
      <w:r>
        <w:rPr>
          <w:rFonts w:ascii="Times New Roman"/>
          <w:b w:val="false"/>
          <w:i w:val="false"/>
          <w:color w:val="000000"/>
          <w:sz w:val="28"/>
        </w:rPr>
        <w:t>АФУ – антенно-фидерное устройство;</w:t>
      </w:r>
    </w:p>
    <w:p>
      <w:pPr>
        <w:spacing w:after="0"/>
        <w:ind w:left="0"/>
        <w:jc w:val="both"/>
      </w:pPr>
      <w:r>
        <w:rPr>
          <w:rFonts w:ascii="Times New Roman"/>
          <w:b w:val="false"/>
          <w:i w:val="false"/>
          <w:color w:val="000000"/>
          <w:sz w:val="28"/>
        </w:rPr>
        <w:t>АЧХ – амплитудно-частотная характеристика;</w:t>
      </w:r>
    </w:p>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град. – градус;</w:t>
      </w:r>
    </w:p>
    <w:p>
      <w:pPr>
        <w:spacing w:after="0"/>
        <w:ind w:left="0"/>
        <w:jc w:val="both"/>
      </w:pPr>
      <w:r>
        <w:rPr>
          <w:rFonts w:ascii="Times New Roman"/>
          <w:b w:val="false"/>
          <w:i w:val="false"/>
          <w:color w:val="000000"/>
          <w:sz w:val="28"/>
        </w:rPr>
        <w:t>дБ – децибел;</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мкВ – микровольт;</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BCC- Base station Colour Code (Цветовой код базовой станции);</w:t>
      </w:r>
    </w:p>
    <w:p>
      <w:pPr>
        <w:spacing w:after="0"/>
        <w:ind w:left="0"/>
        <w:jc w:val="both"/>
      </w:pPr>
      <w:r>
        <w:rPr>
          <w:rFonts w:ascii="Times New Roman"/>
          <w:b w:val="false"/>
          <w:i w:val="false"/>
          <w:color w:val="000000"/>
          <w:sz w:val="28"/>
        </w:rPr>
        <w:t>BSIC – Base Station Identity Code (Идентификационный номер базовой станций);</w:t>
      </w:r>
    </w:p>
    <w:p>
      <w:pPr>
        <w:spacing w:after="0"/>
        <w:ind w:left="0"/>
        <w:jc w:val="both"/>
      </w:pPr>
      <w:r>
        <w:rPr>
          <w:rFonts w:ascii="Times New Roman"/>
          <w:b w:val="false"/>
          <w:i w:val="false"/>
          <w:color w:val="000000"/>
          <w:sz w:val="28"/>
        </w:rPr>
        <w:t>CDMA – Code Division Multiple Access (Множественный доступ с кодовым разделением);</w:t>
      </w:r>
    </w:p>
    <w:p>
      <w:pPr>
        <w:spacing w:after="0"/>
        <w:ind w:left="0"/>
        <w:jc w:val="both"/>
      </w:pPr>
      <w:r>
        <w:rPr>
          <w:rFonts w:ascii="Times New Roman"/>
          <w:b w:val="false"/>
          <w:i w:val="false"/>
          <w:color w:val="000000"/>
          <w:sz w:val="28"/>
        </w:rPr>
        <w:t>Cell ID - Cell Identifier (Идентификатор соты. Указывается для стандартов GSM и LTE);</w:t>
      </w:r>
    </w:p>
    <w:p>
      <w:pPr>
        <w:spacing w:after="0"/>
        <w:ind w:left="0"/>
        <w:jc w:val="both"/>
      </w:pPr>
      <w:r>
        <w:rPr>
          <w:rFonts w:ascii="Times New Roman"/>
          <w:b w:val="false"/>
          <w:i w:val="false"/>
          <w:color w:val="000000"/>
          <w:sz w:val="28"/>
        </w:rPr>
        <w:t>GSM – Global System for Mobile Communications (Глобальная система мобильной связи);</w:t>
      </w:r>
    </w:p>
    <w:p>
      <w:pPr>
        <w:spacing w:after="0"/>
        <w:ind w:left="0"/>
        <w:jc w:val="both"/>
      </w:pPr>
      <w:r>
        <w:rPr>
          <w:rFonts w:ascii="Times New Roman"/>
          <w:b w:val="false"/>
          <w:i w:val="false"/>
          <w:color w:val="000000"/>
          <w:sz w:val="28"/>
        </w:rPr>
        <w:t>LAC - Location Area Code (Код местности. Указывается только для стандартов GSM и UMTS);</w:t>
      </w:r>
    </w:p>
    <w:p>
      <w:pPr>
        <w:spacing w:after="0"/>
        <w:ind w:left="0"/>
        <w:jc w:val="both"/>
      </w:pPr>
      <w:r>
        <w:rPr>
          <w:rFonts w:ascii="Times New Roman"/>
          <w:b w:val="false"/>
          <w:i w:val="false"/>
          <w:color w:val="000000"/>
          <w:sz w:val="28"/>
        </w:rPr>
        <w:t>LAI- Location Area Identification (Идентификатор местоположения);</w:t>
      </w:r>
    </w:p>
    <w:p>
      <w:pPr>
        <w:spacing w:after="0"/>
        <w:ind w:left="0"/>
        <w:jc w:val="both"/>
      </w:pPr>
      <w:r>
        <w:rPr>
          <w:rFonts w:ascii="Times New Roman"/>
          <w:b w:val="false"/>
          <w:i w:val="false"/>
          <w:color w:val="000000"/>
          <w:sz w:val="28"/>
        </w:rPr>
        <w:t>LTE – Long Term Evolution (Долгосрочное развитие);</w:t>
      </w:r>
    </w:p>
    <w:p>
      <w:pPr>
        <w:spacing w:after="0"/>
        <w:ind w:left="0"/>
        <w:jc w:val="both"/>
      </w:pPr>
      <w:r>
        <w:rPr>
          <w:rFonts w:ascii="Times New Roman"/>
          <w:b w:val="false"/>
          <w:i w:val="false"/>
          <w:color w:val="000000"/>
          <w:sz w:val="28"/>
        </w:rPr>
        <w:t>MCC - Mobile Country Code (Код страны);</w:t>
      </w:r>
    </w:p>
    <w:p>
      <w:pPr>
        <w:spacing w:after="0"/>
        <w:ind w:left="0"/>
        <w:jc w:val="both"/>
      </w:pPr>
      <w:r>
        <w:rPr>
          <w:rFonts w:ascii="Times New Roman"/>
          <w:b w:val="false"/>
          <w:i w:val="false"/>
          <w:color w:val="000000"/>
          <w:sz w:val="28"/>
        </w:rPr>
        <w:t>MNC - Mobile Network Code (Код мобильной сети. Указывается для всех стандартов);</w:t>
      </w:r>
    </w:p>
    <w:p>
      <w:pPr>
        <w:spacing w:after="0"/>
        <w:ind w:left="0"/>
        <w:jc w:val="both"/>
      </w:pPr>
      <w:r>
        <w:rPr>
          <w:rFonts w:ascii="Times New Roman"/>
          <w:b w:val="false"/>
          <w:i w:val="false"/>
          <w:color w:val="000000"/>
          <w:sz w:val="28"/>
        </w:rPr>
        <w:t>NCC- Network Colour Code (Цветовой код сети);</w:t>
      </w:r>
    </w:p>
    <w:p>
      <w:pPr>
        <w:spacing w:after="0"/>
        <w:ind w:left="0"/>
        <w:jc w:val="both"/>
      </w:pPr>
      <w:r>
        <w:rPr>
          <w:rFonts w:ascii="Times New Roman"/>
          <w:b w:val="false"/>
          <w:i w:val="false"/>
          <w:color w:val="000000"/>
          <w:sz w:val="28"/>
        </w:rPr>
        <w:t>SAC - Service Area Code (Код зоны обслуживания. Указывается для стандарта UMTS);</w:t>
      </w:r>
    </w:p>
    <w:p>
      <w:pPr>
        <w:spacing w:after="0"/>
        <w:ind w:left="0"/>
        <w:jc w:val="both"/>
      </w:pPr>
      <w:r>
        <w:rPr>
          <w:rFonts w:ascii="Times New Roman"/>
          <w:b w:val="false"/>
          <w:i w:val="false"/>
          <w:color w:val="000000"/>
          <w:sz w:val="28"/>
        </w:rPr>
        <w:t>TAC - Tracking Area Code (Код зоны отслеживания. Указывается только для стандарта LTE);</w:t>
      </w:r>
    </w:p>
    <w:p>
      <w:pPr>
        <w:spacing w:after="0"/>
        <w:ind w:left="0"/>
        <w:jc w:val="both"/>
      </w:pPr>
      <w:r>
        <w:rPr>
          <w:rFonts w:ascii="Times New Roman"/>
          <w:b w:val="false"/>
          <w:i w:val="false"/>
          <w:color w:val="000000"/>
          <w:sz w:val="28"/>
        </w:rPr>
        <w:t>UMTS – Universal Mobile Telecommunications System (Универсальная мобильная телекоммуникационная система);\</w:t>
      </w:r>
    </w:p>
    <w:p>
      <w:pPr>
        <w:spacing w:after="0"/>
        <w:ind w:left="0"/>
        <w:jc w:val="both"/>
      </w:pPr>
      <w:r>
        <w:rPr>
          <w:rFonts w:ascii="Times New Roman"/>
          <w:b w:val="false"/>
          <w:i w:val="false"/>
          <w:color w:val="000000"/>
          <w:sz w:val="28"/>
        </w:rPr>
        <w:t>Wi-Fi – WirelessFidelity (беспроводная точность).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2024 года № 246/НҚ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84" w:id="63"/>
    <w:p>
      <w:pPr>
        <w:spacing w:after="0"/>
        <w:ind w:left="0"/>
        <w:jc w:val="left"/>
      </w:pPr>
      <w:r>
        <w:rPr>
          <w:rFonts w:ascii="Times New Roman"/>
          <w:b/>
          <w:i w:val="false"/>
          <w:color w:val="000000"/>
        </w:rPr>
        <w:t xml:space="preserve"> Заключение экспертизы электромагнитной совместимости радиоэлектронного средства №</w:t>
      </w:r>
    </w:p>
    <w:bookmarkEnd w:id="63"/>
    <w:p>
      <w:pPr>
        <w:spacing w:after="0"/>
        <w:ind w:left="0"/>
        <w:jc w:val="both"/>
      </w:pPr>
      <w:bookmarkStart w:name="z85" w:id="64"/>
      <w:r>
        <w:rPr>
          <w:rFonts w:ascii="Times New Roman"/>
          <w:b w:val="false"/>
          <w:i w:val="false"/>
          <w:color w:val="000000"/>
          <w:sz w:val="28"/>
        </w:rPr>
        <w:t>
      Выдано: _____________________________________________________________</w:t>
      </w:r>
    </w:p>
    <w:bookmarkEnd w:id="6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 радиоэлектронное средство (РЭС)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Пункт установки: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(полный адрес)</w:t>
      </w:r>
    </w:p>
    <w:p>
      <w:pPr>
        <w:spacing w:after="0"/>
        <w:ind w:left="0"/>
        <w:jc w:val="both"/>
      </w:pPr>
      <w:r>
        <w:rPr>
          <w:rFonts w:ascii="Times New Roman"/>
          <w:b w:val="false"/>
          <w:i w:val="false"/>
          <w:color w:val="000000"/>
          <w:sz w:val="28"/>
        </w:rPr>
        <w:t>Вид связи:</w:t>
      </w:r>
    </w:p>
    <w:p>
      <w:pPr>
        <w:spacing w:after="0"/>
        <w:ind w:left="0"/>
        <w:jc w:val="both"/>
      </w:pPr>
      <w:r>
        <w:rPr>
          <w:rFonts w:ascii="Times New Roman"/>
          <w:b w:val="false"/>
          <w:i w:val="false"/>
          <w:color w:val="000000"/>
          <w:sz w:val="28"/>
        </w:rPr>
        <w:t>Стандарт связи: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Чувствительность, дБм/мкВ: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Количество секторов:</w:t>
      </w:r>
    </w:p>
    <w:p>
      <w:pPr>
        <w:spacing w:after="0"/>
        <w:ind w:left="0"/>
        <w:jc w:val="both"/>
      </w:pPr>
      <w:r>
        <w:rPr>
          <w:rFonts w:ascii="Times New Roman"/>
          <w:b w:val="false"/>
          <w:i w:val="false"/>
          <w:color w:val="000000"/>
          <w:sz w:val="28"/>
        </w:rPr>
        <w:t>Диаметр антенны, метров: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(градус, мин., 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(градус, мин., 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(Производитель/Модель)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indoor антенн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(прием/передача)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над уровнем Земли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максимального излучения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места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усиления антенны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передатчика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ПРМ/ПРД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модуляции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65"/>
      <w:r>
        <w:rPr>
          <w:rFonts w:ascii="Times New Roman"/>
          <w:b w:val="false"/>
          <w:i w:val="false"/>
          <w:color w:val="000000"/>
          <w:sz w:val="28"/>
        </w:rPr>
        <w:t>
      Дополнительная информация:</w:t>
      </w:r>
    </w:p>
    <w:bookmarkEnd w:id="6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(заполняется в зависимости от вида связи)</w:t>
      </w:r>
    </w:p>
    <w:p>
      <w:pPr>
        <w:spacing w:after="0"/>
        <w:ind w:left="0"/>
        <w:jc w:val="both"/>
      </w:pPr>
      <w:r>
        <w:rPr>
          <w:rFonts w:ascii="Times New Roman"/>
          <w:b w:val="false"/>
          <w:i w:val="false"/>
          <w:color w:val="000000"/>
          <w:sz w:val="28"/>
        </w:rPr>
        <w:t>Данные по искусственному спутнику земли (для земной станции спутниковой связи):</w:t>
      </w:r>
    </w:p>
    <w:p>
      <w:pPr>
        <w:spacing w:after="0"/>
        <w:ind w:left="0"/>
        <w:jc w:val="both"/>
      </w:pPr>
      <w:r>
        <w:rPr>
          <w:rFonts w:ascii="Times New Roman"/>
          <w:b w:val="false"/>
          <w:i w:val="false"/>
          <w:color w:val="000000"/>
          <w:sz w:val="28"/>
        </w:rPr>
        <w:t>Искусственный спутник земли, точка стояния, градус.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Название луча ______________________________________________________</w:t>
      </w:r>
    </w:p>
    <w:p>
      <w:pPr>
        <w:spacing w:after="0"/>
        <w:ind w:left="0"/>
        <w:jc w:val="both"/>
      </w:pPr>
      <w:r>
        <w:rPr>
          <w:rFonts w:ascii="Times New Roman"/>
          <w:b w:val="false"/>
          <w:i w:val="false"/>
          <w:color w:val="000000"/>
          <w:sz w:val="28"/>
        </w:rPr>
        <w:t>Данные по телерадиовещательной службе: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Программа вещания _________________________________________________</w:t>
      </w:r>
    </w:p>
    <w:p>
      <w:pPr>
        <w:spacing w:after="0"/>
        <w:ind w:left="0"/>
        <w:jc w:val="both"/>
      </w:pPr>
      <w:r>
        <w:rPr>
          <w:rFonts w:ascii="Times New Roman"/>
          <w:b w:val="false"/>
          <w:i w:val="false"/>
          <w:color w:val="000000"/>
          <w:sz w:val="28"/>
        </w:rPr>
        <w:t>Номер канала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Способ подачи программы на передатчик _______________________________</w:t>
      </w:r>
    </w:p>
    <w:p>
      <w:pPr>
        <w:spacing w:after="0"/>
        <w:ind w:left="0"/>
        <w:jc w:val="both"/>
      </w:pPr>
      <w:r>
        <w:rPr>
          <w:rFonts w:ascii="Times New Roman"/>
          <w:b w:val="false"/>
          <w:i w:val="false"/>
          <w:color w:val="000000"/>
          <w:sz w:val="28"/>
        </w:rPr>
        <w:t>Способ приема программы ____________________________________________</w:t>
      </w:r>
    </w:p>
    <w:p>
      <w:pPr>
        <w:spacing w:after="0"/>
        <w:ind w:left="0"/>
        <w:jc w:val="both"/>
      </w:pPr>
      <w:r>
        <w:rPr>
          <w:rFonts w:ascii="Times New Roman"/>
          <w:b w:val="false"/>
          <w:i w:val="false"/>
          <w:color w:val="000000"/>
          <w:sz w:val="28"/>
        </w:rPr>
        <w:t>Прием по эфиру _____________________________________________________</w:t>
      </w:r>
    </w:p>
    <w:p>
      <w:pPr>
        <w:spacing w:after="0"/>
        <w:ind w:left="0"/>
        <w:jc w:val="both"/>
      </w:pPr>
      <w:r>
        <w:rPr>
          <w:rFonts w:ascii="Times New Roman"/>
          <w:b w:val="false"/>
          <w:i w:val="false"/>
          <w:color w:val="000000"/>
          <w:sz w:val="28"/>
        </w:rPr>
        <w:t>Планируемое радиоэлектронное средство (РЭС) совместимо с радиоэлектронными</w:t>
      </w:r>
    </w:p>
    <w:p>
      <w:pPr>
        <w:spacing w:after="0"/>
        <w:ind w:left="0"/>
        <w:jc w:val="both"/>
      </w:pPr>
      <w:r>
        <w:rPr>
          <w:rFonts w:ascii="Times New Roman"/>
          <w:b w:val="false"/>
          <w:i w:val="false"/>
          <w:color w:val="000000"/>
          <w:sz w:val="28"/>
        </w:rPr>
        <w:t>средствами, действующими в радиусе __ км, при условии соответствия его</w:t>
      </w:r>
    </w:p>
    <w:p>
      <w:pPr>
        <w:spacing w:after="0"/>
        <w:ind w:left="0"/>
        <w:jc w:val="both"/>
      </w:pPr>
      <w:r>
        <w:rPr>
          <w:rFonts w:ascii="Times New Roman"/>
          <w:b w:val="false"/>
          <w:i w:val="false"/>
          <w:color w:val="000000"/>
          <w:sz w:val="28"/>
        </w:rPr>
        <w:t>эксплуатационных параметров расчетным данным. _______________________</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(Руководитель) Фамилия, имя, отчеcтво (при его наличии) (дата выдачи)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