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03ac" w14:textId="bd90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19 апреля 2021 года № 236 "Об утверждении Правил предоставления земельного участка во временное безвозмездное пользование по договорам государственно-частного партнерства, в том числе по договору концессии для строительства, реконструкции и эксплуатации оборонных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марта 2024 года № 216. Зарегистрирован в Министерстве юстиции Республики Казахстан 5 апреля 2024 года № 34229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19 апреля 2021 года № 236 "Об утверждении Правил предоставления земельного участка во временное безвозмездное пользование по договорам государственно-частного партнерства, в том числе по договору концессии для строительства, реконструкции и эксплуатации оборонных объектов" (зарегистрирован в Реестре государственной регистрации нормативных правовых актов под № 22583)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26-26) пункта 2 статьи 22 Закона Республики Казахстан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земельного участка во временное безвозмездное пользование по договорам государственно-частного партнерства, в том числе по договору концессии для строительства, реконструкции и эксплуатации оборонных объектов,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разделе земельного участка, подлежащего предоставлению во временное безвозмездное пользование частному партнеру или концессионеру, изготавливается землеустроительный проект,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землеустроительного проекта по формированию земельных участков, утвержденных приказом Министра сельского хозяйства Республики Казахстан от 3 июня 2022 года № 180 (зарегистрирован в Реестре государственной регистрации нормативных правовых актов под № 28399).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землеустроительного проекта проводится изготовление идентификационного документа на земельный участок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"Изготовление и выдача идентификационного документа на земельный участок", утвержденных приказом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под № 21366).".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