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eca1" w14:textId="942e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12 мая 2023 года № 63 "Об утверждении критериев оценки степени риска и проверочных листов в области поддержки и защиты субъектов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18 марта 2024 года № 11. Зарегистрирован в Министерстве юстиции Республики Казахстан 19 марта 2024 года № 34163. Утратил силу приказом Заместителя Премьер-Министра - Министра национальной экономики Республики Казахстан от 13 июня 2024 года № 33.</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13.06.2024 </w:t>
      </w:r>
      <w:r>
        <w:rPr>
          <w:rFonts w:ascii="Times New Roman"/>
          <w:b w:val="false"/>
          <w:i w:val="false"/>
          <w:color w:val="ff0000"/>
          <w:sz w:val="28"/>
        </w:rPr>
        <w:t>№ 33</w:t>
      </w:r>
      <w:r>
        <w:rPr>
          <w:rFonts w:ascii="Times New Roman"/>
          <w:b w:val="false"/>
          <w:i w:val="false"/>
          <w:color w:val="ff0000"/>
          <w:sz w:val="28"/>
        </w:rPr>
        <w:t xml:space="preserve"> (вводится в действие с 01.07.2024).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12 мая 2023 года № 63 "Об утверждении критериев оценки степени риска и проверочных листов в области поддержки и защиты субъектов предпринимательства" (зарегистрирован в Реестре государственной регистрации нормативных правовых актов № 32489)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оценки степени риска в области поддержки и защиты субъектов предпринимательства,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
    <w:bookmarkStart w:name="z9" w:id="4"/>
    <w:p>
      <w:pPr>
        <w:spacing w:after="0"/>
        <w:ind w:left="0"/>
        <w:jc w:val="both"/>
      </w:pPr>
      <w:r>
        <w:rPr>
          <w:rFonts w:ascii="Times New Roman"/>
          <w:b w:val="false"/>
          <w:i w:val="false"/>
          <w:color w:val="000000"/>
          <w:sz w:val="28"/>
        </w:rPr>
        <w:t>
      1) риск – вероятность причинения вреда в результате деятельности субъекта контроля правам и законным интересам субъектов предпринимательства с учетом степени тяжести его последствий;</w:t>
      </w:r>
    </w:p>
    <w:bookmarkEnd w:id="4"/>
    <w:bookmarkStart w:name="z10" w:id="5"/>
    <w:p>
      <w:pPr>
        <w:spacing w:after="0"/>
        <w:ind w:left="0"/>
        <w:jc w:val="both"/>
      </w:pPr>
      <w:r>
        <w:rPr>
          <w:rFonts w:ascii="Times New Roman"/>
          <w:b w:val="false"/>
          <w:i w:val="false"/>
          <w:color w:val="000000"/>
          <w:sz w:val="28"/>
        </w:rPr>
        <w:t>
      2)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w:t>
      </w:r>
    </w:p>
    <w:bookmarkEnd w:id="5"/>
    <w:bookmarkStart w:name="z11" w:id="6"/>
    <w:p>
      <w:pPr>
        <w:spacing w:after="0"/>
        <w:ind w:left="0"/>
        <w:jc w:val="both"/>
      </w:pPr>
      <w:r>
        <w:rPr>
          <w:rFonts w:ascii="Times New Roman"/>
          <w:b w:val="false"/>
          <w:i w:val="false"/>
          <w:color w:val="000000"/>
          <w:sz w:val="28"/>
        </w:rPr>
        <w:t>
      3)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6"/>
    <w:bookmarkStart w:name="z12" w:id="7"/>
    <w:p>
      <w:pPr>
        <w:spacing w:after="0"/>
        <w:ind w:left="0"/>
        <w:jc w:val="both"/>
      </w:pPr>
      <w:r>
        <w:rPr>
          <w:rFonts w:ascii="Times New Roman"/>
          <w:b w:val="false"/>
          <w:i w:val="false"/>
          <w:color w:val="000000"/>
          <w:sz w:val="28"/>
        </w:rPr>
        <w:t>
      4)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7"/>
    <w:bookmarkStart w:name="z13" w:id="8"/>
    <w:p>
      <w:pPr>
        <w:spacing w:after="0"/>
        <w:ind w:left="0"/>
        <w:jc w:val="both"/>
      </w:pPr>
      <w:r>
        <w:rPr>
          <w:rFonts w:ascii="Times New Roman"/>
          <w:b w:val="false"/>
          <w:i w:val="false"/>
          <w:color w:val="000000"/>
          <w:sz w:val="28"/>
        </w:rPr>
        <w:t>
      5)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8"/>
    <w:bookmarkStart w:name="z14" w:id="9"/>
    <w:p>
      <w:pPr>
        <w:spacing w:after="0"/>
        <w:ind w:left="0"/>
        <w:jc w:val="both"/>
      </w:pPr>
      <w:r>
        <w:rPr>
          <w:rFonts w:ascii="Times New Roman"/>
          <w:b w:val="false"/>
          <w:i w:val="false"/>
          <w:color w:val="000000"/>
          <w:sz w:val="28"/>
        </w:rPr>
        <w:t>
      6) проверочный лист – перечень требований, предъявляемых к деятельности субъектов (объектов) контроля, несоблюдение которых влечет за собой причинение вреда правам и законным интересам субъектов предпринимательства;</w:t>
      </w:r>
    </w:p>
    <w:bookmarkEnd w:id="9"/>
    <w:bookmarkStart w:name="z15" w:id="10"/>
    <w:p>
      <w:pPr>
        <w:spacing w:after="0"/>
        <w:ind w:left="0"/>
        <w:jc w:val="both"/>
      </w:pPr>
      <w:r>
        <w:rPr>
          <w:rFonts w:ascii="Times New Roman"/>
          <w:b w:val="false"/>
          <w:i w:val="false"/>
          <w:color w:val="000000"/>
          <w:sz w:val="28"/>
        </w:rPr>
        <w:t>
      7) грубые нарушения – нарушения требований, установленных нормативными правовыми актами в области поддержки и защиты субъектов предпринимательства, влекущие административную ответственность;</w:t>
      </w:r>
    </w:p>
    <w:bookmarkEnd w:id="10"/>
    <w:bookmarkStart w:name="z16" w:id="11"/>
    <w:p>
      <w:pPr>
        <w:spacing w:after="0"/>
        <w:ind w:left="0"/>
        <w:jc w:val="both"/>
      </w:pPr>
      <w:r>
        <w:rPr>
          <w:rFonts w:ascii="Times New Roman"/>
          <w:b w:val="false"/>
          <w:i w:val="false"/>
          <w:color w:val="000000"/>
          <w:sz w:val="28"/>
        </w:rPr>
        <w:t>
      8) значительные нарушения – нарушения требований, установленных нормативными правовыми актами в области поддержки и защиты субъектов предпринимательства, не влекущие административную ответственность и не относящиеся к грубым и незначительным нарушениям;</w:t>
      </w:r>
    </w:p>
    <w:bookmarkEnd w:id="11"/>
    <w:bookmarkStart w:name="z17" w:id="12"/>
    <w:p>
      <w:pPr>
        <w:spacing w:after="0"/>
        <w:ind w:left="0"/>
        <w:jc w:val="both"/>
      </w:pPr>
      <w:r>
        <w:rPr>
          <w:rFonts w:ascii="Times New Roman"/>
          <w:b w:val="false"/>
          <w:i w:val="false"/>
          <w:color w:val="000000"/>
          <w:sz w:val="28"/>
        </w:rPr>
        <w:t>
      9) незначительные нарушения – нарушения требований, установленных нормативными правовыми актами в области поддержки и защиты субъектов предпринимательства связанные с отсутствием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и размещения их на интернет-ресурсах регулирующих государственных органов, а также ненадлежащим осуществлением оформления лицензии и (или) приложения к лицензии в электронной форме.";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"6. C учетом специфики профилактического контроля с посещением субъекта контроля в области поддержки и защиты субъектов предпринимательства производится отбор субъектов контроля в двух регионах (области, городе республиканского значения, столице), с наименьшим показателем прироста количества действующих субъектов малого и среднего бизнеса по сравнению с аналогичным периодом предыдущего года в процентном соотношении согласно данным Бюро национальной статистики Агентства по стратегическому планированию и реформам Республики Казахстан.</w:t>
      </w:r>
    </w:p>
    <w:bookmarkEnd w:id="13"/>
    <w:bookmarkStart w:name="z20" w:id="14"/>
    <w:p>
      <w:pPr>
        <w:spacing w:after="0"/>
        <w:ind w:left="0"/>
        <w:jc w:val="both"/>
      </w:pPr>
      <w:r>
        <w:rPr>
          <w:rFonts w:ascii="Times New Roman"/>
          <w:b w:val="false"/>
          <w:i w:val="false"/>
          <w:color w:val="000000"/>
          <w:sz w:val="28"/>
        </w:rPr>
        <w:t>
      При этом отбору не подлежат субъекты контроля в регионах (области, городе республиканского значения, столице), в которых был осуществлен профилактический контроль с посещением субъекта контроля за последние три года.</w:t>
      </w:r>
    </w:p>
    <w:bookmarkEnd w:id="14"/>
    <w:bookmarkStart w:name="z21" w:id="15"/>
    <w:p>
      <w:pPr>
        <w:spacing w:after="0"/>
        <w:ind w:left="0"/>
        <w:jc w:val="both"/>
      </w:pPr>
      <w:r>
        <w:rPr>
          <w:rFonts w:ascii="Times New Roman"/>
          <w:b w:val="false"/>
          <w:i w:val="false"/>
          <w:color w:val="000000"/>
          <w:sz w:val="28"/>
        </w:rPr>
        <w:t>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"12. Для оценки степени риска используются следующие источники информации:</w:t>
      </w:r>
    </w:p>
    <w:bookmarkEnd w:id="16"/>
    <w:bookmarkStart w:name="z24" w:id="17"/>
    <w:p>
      <w:pPr>
        <w:spacing w:after="0"/>
        <w:ind w:left="0"/>
        <w:jc w:val="both"/>
      </w:pPr>
      <w:r>
        <w:rPr>
          <w:rFonts w:ascii="Times New Roman"/>
          <w:b w:val="false"/>
          <w:i w:val="false"/>
          <w:color w:val="000000"/>
          <w:sz w:val="28"/>
        </w:rPr>
        <w:t>
      1) анализ официальных интернет-ресурсов государственных органов, средств массовой информации;</w:t>
      </w:r>
    </w:p>
    <w:bookmarkEnd w:id="17"/>
    <w:bookmarkStart w:name="z25" w:id="18"/>
    <w:p>
      <w:pPr>
        <w:spacing w:after="0"/>
        <w:ind w:left="0"/>
        <w:jc w:val="both"/>
      </w:pPr>
      <w:r>
        <w:rPr>
          <w:rFonts w:ascii="Times New Roman"/>
          <w:b w:val="false"/>
          <w:i w:val="false"/>
          <w:color w:val="000000"/>
          <w:sz w:val="28"/>
        </w:rPr>
        <w:t>
      2) результаты предыдущего профилактического контроля с посещением субъекта (объекта) контроля и надзора и (или) проверок.</w:t>
      </w:r>
    </w:p>
    <w:bookmarkEnd w:id="18"/>
    <w:bookmarkStart w:name="z26" w:id="19"/>
    <w:p>
      <w:pPr>
        <w:spacing w:after="0"/>
        <w:ind w:left="0"/>
        <w:jc w:val="both"/>
      </w:pPr>
      <w:r>
        <w:rPr>
          <w:rFonts w:ascii="Times New Roman"/>
          <w:b w:val="false"/>
          <w:i w:val="false"/>
          <w:color w:val="000000"/>
          <w:sz w:val="28"/>
        </w:rPr>
        <w:t>
      13. По субъективным критериям к высокой степени риска относятся в рамках отобранных регионов (области, городе республиканского значения, столице) субъекты контроля с наибольшим количеством, за полугодие, предшествующее анализу:</w:t>
      </w:r>
    </w:p>
    <w:bookmarkEnd w:id="19"/>
    <w:bookmarkStart w:name="z27" w:id="20"/>
    <w:p>
      <w:pPr>
        <w:spacing w:after="0"/>
        <w:ind w:left="0"/>
        <w:jc w:val="both"/>
      </w:pPr>
      <w:r>
        <w:rPr>
          <w:rFonts w:ascii="Times New Roman"/>
          <w:b w:val="false"/>
          <w:i w:val="false"/>
          <w:color w:val="000000"/>
          <w:sz w:val="28"/>
        </w:rPr>
        <w:t>
      1) проведенного профилактического контроля с посещением субъекта (объекта) контроля и надзора и (или) проверок в сферах деятельности субъектов предпринимательства;</w:t>
      </w:r>
    </w:p>
    <w:bookmarkEnd w:id="20"/>
    <w:bookmarkStart w:name="z28" w:id="21"/>
    <w:p>
      <w:pPr>
        <w:spacing w:after="0"/>
        <w:ind w:left="0"/>
        <w:jc w:val="both"/>
      </w:pPr>
      <w:r>
        <w:rPr>
          <w:rFonts w:ascii="Times New Roman"/>
          <w:b w:val="false"/>
          <w:i w:val="false"/>
          <w:color w:val="000000"/>
          <w:sz w:val="28"/>
        </w:rPr>
        <w:t>
      2) отказов в выдаче разрешений первой и второй категории.";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30" w:id="22"/>
    <w:p>
      <w:pPr>
        <w:spacing w:after="0"/>
        <w:ind w:left="0"/>
        <w:jc w:val="both"/>
      </w:pPr>
      <w:r>
        <w:rPr>
          <w:rFonts w:ascii="Times New Roman"/>
          <w:b w:val="false"/>
          <w:i w:val="false"/>
          <w:color w:val="000000"/>
          <w:sz w:val="28"/>
        </w:rPr>
        <w:t>
      "15. При отборе субъектов профилактического контроля с посещением субъекта контроля в анализируемом периоде не учитываются сферы контроля и надзора, разрешения первой и второй категории, ранее учтенные и использованные в предыдущем анализируемом периоде.".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Критериям оценки степени риска в области поддержки и защиты субъектов предпринимательства,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в отношении государственных органов, осуществляющих контроль и надзор в сферах деятельности субъектов предпринимательства,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3" w:id="23"/>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3"/>
    <w:bookmarkStart w:name="z34"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4"/>
    <w:bookmarkStart w:name="z35" w:id="2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37"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 защиты</w:t>
            </w:r>
            <w:r>
              <w:br/>
            </w:r>
            <w:r>
              <w:rPr>
                <w:rFonts w:ascii="Times New Roman"/>
                <w:b w:val="false"/>
                <w:i w:val="false"/>
                <w:color w:val="000000"/>
                <w:sz w:val="20"/>
              </w:rPr>
              <w:t>и поддержки субъектов</w:t>
            </w:r>
            <w:r>
              <w:br/>
            </w:r>
            <w:r>
              <w:rPr>
                <w:rFonts w:ascii="Times New Roman"/>
                <w:b w:val="false"/>
                <w:i w:val="false"/>
                <w:color w:val="000000"/>
                <w:sz w:val="20"/>
              </w:rPr>
              <w:t>предпринимательства</w:t>
            </w:r>
          </w:p>
        </w:tc>
      </w:tr>
    </w:tbl>
    <w:bookmarkStart w:name="z40" w:id="27"/>
    <w:p>
      <w:pPr>
        <w:spacing w:after="0"/>
        <w:ind w:left="0"/>
        <w:jc w:val="left"/>
      </w:pPr>
      <w:r>
        <w:rPr>
          <w:rFonts w:ascii="Times New Roman"/>
          <w:b/>
          <w:i w:val="false"/>
          <w:color w:val="000000"/>
        </w:rPr>
        <w:t xml:space="preserve"> Перечень субъективных критериев в области поддержки и защиты субъектов предпринимательства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проведенного профилактического контроля с посещением субъекта (объекта) контроля и надзора и (или) проверок в сферах деятельности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количество отказов в выдаче разрешений первой и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предыдущего профилактического контроля с посещением субъектов (объектов) контроля и надзора и (или) проверок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осуществления государственного контроля и надзора в сферах деятельности субъектов частного предпринимательства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на соответствие требованиям, утвержденных совместным актом регулирующего государственного органа, уполномоченного органа по предпринимательству и размещенных на интернет-ресурсах регулирующего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касающиеся критериев оценки степени риска для отбора субъектов (объектов) контроля и надзора, проверочных листов, которые размещаются на интернет-ресурсах регулирующих государственных органов и иных цифровых платформах.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без посещения субъекта (объекта) контроля и надзора на основании анализа отчетности, представляемой субъектами частного предпринимательства, сведений уполномоченных государственных органов, а также полученных из государственных информационных систем и электронных информационных ресурсов, и других документов и сведений о деятельности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1) контроль исполнения предписаний об устранении выявленных грубых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w:t>
            </w:r>
          </w:p>
          <w:p>
            <w:pPr>
              <w:spacing w:after="20"/>
              <w:ind w:left="20"/>
              <w:jc w:val="both"/>
            </w:pPr>
            <w:r>
              <w:rPr>
                <w:rFonts w:ascii="Times New Roman"/>
                <w:b w:val="false"/>
                <w:i w:val="false"/>
                <w:color w:val="000000"/>
                <w:sz w:val="20"/>
              </w:rPr>
              <w:t>2) контроль исполнения предписаний об устранении выявленных значительных и незначительных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 в случаях, если субъект контроля и надзора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3)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w:t>
            </w:r>
          </w:p>
          <w:p>
            <w:pPr>
              <w:spacing w:after="20"/>
              <w:ind w:left="20"/>
              <w:jc w:val="both"/>
            </w:pPr>
            <w:r>
              <w:rPr>
                <w:rFonts w:ascii="Times New Roman"/>
                <w:b w:val="false"/>
                <w:i w:val="false"/>
                <w:color w:val="000000"/>
                <w:sz w:val="20"/>
              </w:rPr>
              <w:t>4)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5)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6) повторная проверка, связанная с обращением субъекта контроля и надзора о несогласии с первоначальной проверкой (неправомерность применения мер оперативного реагирования);</w:t>
            </w:r>
          </w:p>
          <w:p>
            <w:pPr>
              <w:spacing w:after="20"/>
              <w:ind w:left="20"/>
              <w:jc w:val="both"/>
            </w:pPr>
            <w:r>
              <w:rPr>
                <w:rFonts w:ascii="Times New Roman"/>
                <w:b w:val="false"/>
                <w:i w:val="false"/>
                <w:color w:val="000000"/>
                <w:sz w:val="20"/>
              </w:rPr>
              <w:t xml:space="preserve">7) поручение органа уголовного преследования по основаниям, предусмотренным </w:t>
            </w:r>
            <w:r>
              <w:rPr>
                <w:rFonts w:ascii="Times New Roman"/>
                <w:b w:val="false"/>
                <w:i w:val="false"/>
                <w:color w:val="000000"/>
                <w:sz w:val="20"/>
              </w:rPr>
              <w:t>Уголовно-процессуальным кодексом</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xml:space="preserve">8) обращения налогоплательщика, сведения и вопросы, определенные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расследования по следующим основаниям:</w:t>
            </w:r>
          </w:p>
          <w:p>
            <w:pPr>
              <w:spacing w:after="20"/>
              <w:ind w:left="20"/>
              <w:jc w:val="both"/>
            </w:pPr>
            <w:r>
              <w:rPr>
                <w:rFonts w:ascii="Times New Roman"/>
                <w:b w:val="false"/>
                <w:i w:val="false"/>
                <w:color w:val="000000"/>
                <w:sz w:val="20"/>
              </w:rPr>
              <w:t>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в случаях, когда такой факт коснулся широкого круга лиц и требуется установить конкретный субъект (объект) контроля и надзора, допустивший нарушения;</w:t>
            </w:r>
          </w:p>
          <w:p>
            <w:pPr>
              <w:spacing w:after="20"/>
              <w:ind w:left="20"/>
              <w:jc w:val="both"/>
            </w:pPr>
            <w:r>
              <w:rPr>
                <w:rFonts w:ascii="Times New Roman"/>
                <w:b w:val="false"/>
                <w:i w:val="false"/>
                <w:color w:val="000000"/>
                <w:sz w:val="20"/>
              </w:rPr>
              <w:t xml:space="preserve">2) информация (экстренное извещение) о наступлении смерти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3) информация (экстренное извещение), подаваемая государственными органами или субъектами деятельности, о возникновении и распространении эпидемии, фальсифицированных и незарегистрированных пестицидов, ветеринарных препаратов, кормовых добавок, очагов карантинных объектов и особо опасных вредных организмов, инфекционных, паразитарных заболеваний, отравлений, радиационных аварий;</w:t>
            </w:r>
          </w:p>
          <w:p>
            <w:pPr>
              <w:spacing w:after="20"/>
              <w:ind w:left="20"/>
              <w:jc w:val="both"/>
            </w:pPr>
            <w:r>
              <w:rPr>
                <w:rFonts w:ascii="Times New Roman"/>
                <w:b w:val="false"/>
                <w:i w:val="false"/>
                <w:color w:val="000000"/>
                <w:sz w:val="20"/>
              </w:rPr>
              <w:t>4) случаи повреждения здоровья работников, связанные с их трудовой деятельностью и приведшие к нетрудоспособности либо смерти;</w:t>
            </w:r>
          </w:p>
          <w:p>
            <w:pPr>
              <w:spacing w:after="20"/>
              <w:ind w:left="20"/>
              <w:jc w:val="both"/>
            </w:pPr>
            <w:r>
              <w:rPr>
                <w:rFonts w:ascii="Times New Roman"/>
                <w:b w:val="false"/>
                <w:i w:val="false"/>
                <w:color w:val="000000"/>
                <w:sz w:val="20"/>
              </w:rPr>
              <w:t>5) аварии, технологические нарушения или инциденты, по которым возникает необходимость выяснения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в области электроэнергетики, определение мероприятий по ликвидации последствий и предотвращению подобных аварий, технологических нарушений или инцидентов, материального ущерба, причиненного аварией, технологическим нарушением или инцидентом;</w:t>
            </w:r>
          </w:p>
          <w:p>
            <w:pPr>
              <w:spacing w:after="20"/>
              <w:ind w:left="20"/>
              <w:jc w:val="both"/>
            </w:pPr>
            <w:r>
              <w:rPr>
                <w:rFonts w:ascii="Times New Roman"/>
                <w:b w:val="false"/>
                <w:i w:val="false"/>
                <w:color w:val="000000"/>
                <w:sz w:val="20"/>
              </w:rPr>
              <w:t>6) результаты исследования продукции по итогам контрольного закупа в случае выявления нарушения требований, установленных нормативными правовыми актами и (или) нормативными техническими документами, представляющего опасность для жизни, здоровья человека и среды обитания.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контрольного закупа в порядке, определенном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профилактического контроля с посещением субъектов (объектов) государственного контроля и надзора без проведения профилактического контроля без посещения субъектов (объектов) государственного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минимально допустимого порога количества субъектов (объектов) контроля и надзора (пяти процентов от общего количества субъектов (объектов) контроля и надзора), в отношении которых осуществляется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кратности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субъектов (объектов) контроля и надзора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p>
            <w:pPr>
              <w:spacing w:after="20"/>
              <w:ind w:left="20"/>
              <w:jc w:val="both"/>
            </w:pPr>
            <w:r>
              <w:rPr>
                <w:rFonts w:ascii="Times New Roman"/>
                <w:b w:val="false"/>
                <w:i w:val="false"/>
                <w:color w:val="000000"/>
                <w:sz w:val="20"/>
              </w:rPr>
              <w:t>1) если такие субъекты заключили договоры страхования гражданско-правовой ответственности перед третьими лицами в случаях и порядке, которые установлены законами Республики Казахстан;</w:t>
            </w:r>
          </w:p>
          <w:p>
            <w:pPr>
              <w:spacing w:after="20"/>
              <w:ind w:left="20"/>
              <w:jc w:val="both"/>
            </w:pPr>
            <w:r>
              <w:rPr>
                <w:rFonts w:ascii="Times New Roman"/>
                <w:b w:val="false"/>
                <w:i w:val="false"/>
                <w:color w:val="000000"/>
                <w:sz w:val="20"/>
              </w:rPr>
              <w:t>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 или проведения проверок;</w:t>
            </w:r>
          </w:p>
          <w:p>
            <w:pPr>
              <w:spacing w:after="20"/>
              <w:ind w:left="20"/>
              <w:jc w:val="both"/>
            </w:pPr>
            <w:r>
              <w:rPr>
                <w:rFonts w:ascii="Times New Roman"/>
                <w:b w:val="false"/>
                <w:i w:val="false"/>
                <w:color w:val="000000"/>
                <w:sz w:val="20"/>
              </w:rPr>
              <w:t xml:space="preserve">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подзаконных нормативных правовых актов по вопросам порядка проведения государственного контроля и надзора субъектов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мер оперативного реагирования в случаях, если в законах Республики Казахстан отсутствует порядок их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внеплановой проверки по исполнению предписания об устранении выявленного нарушения по итогам внеплановой проверки, в случае непредоставления информации об исполнении предписания об устранении выявленных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в установленное режиму работы субъекта частного предпринимательства, за исключением внеплановых проверок, которые проводятся во внеурочное время (ночное время, выходные или праздничные дни) в силу необходимости пресечения нарушений непосредственно в момент их совершения.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государственного контроля и надзора в отношении субъектов малого предпринимательства, в том числе микропредпринимательства, в течение трех лет со дня их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внеплановых проверок.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(объектов) частного предпринимательства, которые не могли являться основанием для назначения внеплановой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на основании акта органа контроля и надзора о назначении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профилактического контроля с посещением субъекта (объекта) контроля и надзора и (или) проверки следующей информации:</w:t>
            </w:r>
          </w:p>
          <w:p>
            <w:pPr>
              <w:spacing w:after="20"/>
              <w:ind w:left="20"/>
              <w:jc w:val="both"/>
            </w:pP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(уполномоченных) на проведение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с посещением субъекта (объекта) контроля и надзора и (или)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6) предмет назначенного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срок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8) основания проведения профилактического контроля с посещением субъекта (объекта) контроля и надзора и (или) проверки, в том числе нормативные правовые акты, обязательные требования которых подлежат профилактическому контролю с посещением субъекта (объекта) контроля и надзора и (или) проверке;</w:t>
            </w:r>
          </w:p>
          <w:p>
            <w:pPr>
              <w:spacing w:after="20"/>
              <w:ind w:left="20"/>
              <w:jc w:val="both"/>
            </w:pPr>
            <w:r>
              <w:rPr>
                <w:rFonts w:ascii="Times New Roman"/>
                <w:b w:val="false"/>
                <w:i w:val="false"/>
                <w:color w:val="000000"/>
                <w:sz w:val="20"/>
              </w:rPr>
              <w:t>9)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 контроля и надзора (руководителя юридического лица либо его уполномоченное лицо, физическое лицо) о начале проведения профилактического контроля с посещением субъекта (объекта) контроля и надзора не менее чем за тридцать календарных дней до его начала с указанием 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об административном правонарушении в случаях отказа в принятии акта о назначении профилактического контроля с посещением субъекта (объекта) контроля и надзора и (или) проверки, ознакомлении с проверочным листом, а также воспрепятствования доступу должностного лица органа, осуществляющего профилактический контроль с посещением субъекта (объекта) контроля и надзора и (или) проверку, к материалам, необходимым для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профилактический контроль с посещением субъекта (объекта) контроля и надзора и (или) проверку, до начала участия в профилактическом контроле с посещением субъекта (объекта) контроля и надзора и (или) проверке лиц, не указанных в акте о назначении профилактического контроля с посещением субъекта (объекта) контроля и надзора и (или) проверки, с указанием причины замены.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с учетом объема предстоящих работ, а также поставленных задач:</w:t>
            </w:r>
          </w:p>
          <w:p>
            <w:pPr>
              <w:spacing w:after="20"/>
              <w:ind w:left="20"/>
              <w:jc w:val="both"/>
            </w:pP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при проведении профилактического контроля с посещением субъекта (объекта) контроля и надзора и (или) проверки на соответствие требованиям – не более пятнадцати рабочих дней и с продлением на срок не более пятнадцати рабочих дней;</w:t>
            </w:r>
          </w:p>
          <w:p>
            <w:pPr>
              <w:spacing w:after="20"/>
              <w:ind w:left="20"/>
              <w:jc w:val="both"/>
            </w:pP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профилактического контроля с посещением субъекта (объекта) контроля и надзора и (или) проверки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2) установления местонахождения лица, в отношении которого проводятся профилактический контроль с посещением субъекта (объекта) контроля и надзора и (или) проверка;</w:t>
            </w:r>
          </w:p>
          <w:p>
            <w:pPr>
              <w:spacing w:after="20"/>
              <w:ind w:left="20"/>
              <w:jc w:val="both"/>
            </w:pPr>
            <w:r>
              <w:rPr>
                <w:rFonts w:ascii="Times New Roman"/>
                <w:b w:val="false"/>
                <w:i w:val="false"/>
                <w:color w:val="000000"/>
                <w:sz w:val="20"/>
              </w:rPr>
              <w:t>3) получения результатов лабораторных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сроков профилактического контроля с посещением субъекта (объекта) контроля и надзора и (или)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профилактического контроля с посещением субъекта (объекта) контроля и надзора и (или) проверки и причина продления в случае продления сроков профилактического контроля с посещением субъекта (объекта) контроля и надзора и (или) проверки и причины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субъекта (объекта) контроля и надзора о продлении сроков профилактического контроля с посещением субъекта (объекта) контроля и надзора и (или) проверки за один рабочий день до продления.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контроля и надзора и уполномоченного лица субъекта контроля и надзора, удостоверенного актом отбора образцов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w:t>
            </w:r>
          </w:p>
          <w:p>
            <w:pPr>
              <w:spacing w:after="20"/>
              <w:ind w:left="20"/>
              <w:jc w:val="both"/>
            </w:pPr>
            <w:r>
              <w:rPr>
                <w:rFonts w:ascii="Times New Roman"/>
                <w:b w:val="false"/>
                <w:i w:val="false"/>
                <w:color w:val="000000"/>
                <w:sz w:val="20"/>
              </w:rPr>
              <w:t>1) место и дата составления;</w:t>
            </w:r>
          </w:p>
          <w:p>
            <w:pPr>
              <w:spacing w:after="20"/>
              <w:ind w:left="20"/>
              <w:jc w:val="both"/>
            </w:pPr>
            <w:r>
              <w:rPr>
                <w:rFonts w:ascii="Times New Roman"/>
                <w:b w:val="false"/>
                <w:i w:val="false"/>
                <w:color w:val="000000"/>
                <w:sz w:val="20"/>
              </w:rPr>
              <w:t>2) номер и дата решения руководителя органа контроля и надзора, на основании которого осуществляется отбор образцов продукции;</w:t>
            </w:r>
          </w:p>
          <w:p>
            <w:pPr>
              <w:spacing w:after="20"/>
              <w:ind w:left="20"/>
              <w:jc w:val="both"/>
            </w:pPr>
            <w:r>
              <w:rPr>
                <w:rFonts w:ascii="Times New Roman"/>
                <w:b w:val="false"/>
                <w:i w:val="false"/>
                <w:color w:val="000000"/>
                <w:sz w:val="20"/>
              </w:rPr>
              <w:t>3) должности, фамилии, имена и отчества (если они указаны в документах, удостоверяющих личность) должностных лиц органа контроля и надзора, осуществляющих отбор образцов продукции;</w:t>
            </w:r>
          </w:p>
          <w:p>
            <w:pPr>
              <w:spacing w:after="20"/>
              <w:ind w:left="20"/>
              <w:jc w:val="both"/>
            </w:pPr>
            <w:r>
              <w:rPr>
                <w:rFonts w:ascii="Times New Roman"/>
                <w:b w:val="false"/>
                <w:i w:val="false"/>
                <w:color w:val="000000"/>
                <w:sz w:val="20"/>
              </w:rPr>
              <w:t>4) наименование и место нахождения субъекта (объекта) контроля и надзора, у которого производится отбор образцов продукции;</w:t>
            </w:r>
          </w:p>
          <w:p>
            <w:pPr>
              <w:spacing w:after="20"/>
              <w:ind w:left="20"/>
              <w:jc w:val="both"/>
            </w:pPr>
            <w:r>
              <w:rPr>
                <w:rFonts w:ascii="Times New Roman"/>
                <w:b w:val="false"/>
                <w:i w:val="false"/>
                <w:color w:val="000000"/>
                <w:sz w:val="20"/>
              </w:rPr>
              <w:t>5) должность и фамилия, имя, отчество (если оно указано в документе, удостоверяющем личность) руководителя или представителя субъекта контроля и надзора и уполномоченного лица субъекта контроля и надзора;</w:t>
            </w:r>
          </w:p>
          <w:p>
            <w:pPr>
              <w:spacing w:after="20"/>
              <w:ind w:left="20"/>
              <w:jc w:val="both"/>
            </w:pPr>
            <w:r>
              <w:rPr>
                <w:rFonts w:ascii="Times New Roman"/>
                <w:b w:val="false"/>
                <w:i w:val="false"/>
                <w:color w:val="000000"/>
                <w:sz w:val="20"/>
              </w:rPr>
              <w:t>6) перечень и количество отобранных образцов продукции с указанием производителя, даты производства, серии (номера) партии, общей стоимости образцов;</w:t>
            </w:r>
          </w:p>
          <w:p>
            <w:pPr>
              <w:spacing w:after="20"/>
              <w:ind w:left="20"/>
              <w:jc w:val="both"/>
            </w:pPr>
            <w:r>
              <w:rPr>
                <w:rFonts w:ascii="Times New Roman"/>
                <w:b w:val="false"/>
                <w:i w:val="false"/>
                <w:color w:val="000000"/>
                <w:sz w:val="20"/>
              </w:rPr>
              <w:t>7) вид упаковки и номер печати (пломбы).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данные должностные лица;</w:t>
            </w:r>
          </w:p>
          <w:p>
            <w:pPr>
              <w:spacing w:after="20"/>
              <w:ind w:left="20"/>
              <w:jc w:val="both"/>
            </w:pP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профилактического контроля с посещением субъекта (объекта) контроля и надзора и (или) проверки или не относятся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4) разглашать и (или) распространять информацию, полученную в результате проведения профилактического контроля с посещением субъекта (объекта) контроля и надзора и (или)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p>
            <w:pPr>
              <w:spacing w:after="20"/>
              <w:ind w:left="20"/>
              <w:jc w:val="both"/>
            </w:pPr>
            <w:r>
              <w:rPr>
                <w:rFonts w:ascii="Times New Roman"/>
                <w:b w:val="false"/>
                <w:i w:val="false"/>
                <w:color w:val="000000"/>
                <w:sz w:val="20"/>
              </w:rPr>
              <w:t>5) превышать установленные сроки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проводить профилактический контроль с посещением субъекта (объекта) контроля и надзора и (или) проверку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проверки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7) проводить мероприятия, носящие затратный характер, в целях проведения профилактического контроля с посещением субъекта (объекта) контроля и надзора и (или) проверки за счет субъектов контроля и надзора.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дата и номер акта о назначении профилактического контроля с посещением субъекта (объекта) контроля и надзора и (или) проверки (дополнительного акта о продлении срока при его наличии), на основании которого проведены профилактический контроль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сведения о результатах профилактического контроля с посещением субъекта (объекта) контроля и надзора и (или) проверки, в том числе о выявленных нарушениях, их характере;</w:t>
            </w:r>
          </w:p>
          <w:p>
            <w:pPr>
              <w:spacing w:after="20"/>
              <w:ind w:left="20"/>
              <w:jc w:val="both"/>
            </w:pP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9) сведения об ознакомлении или отказе в ознакомлении с актом о результатах профилактического контроля с посещением субъекта (объекта) контроля и надзора и (или) проверки представителей субъекта контроля и надзора, а также лиц, присутствовавших при проведении профилактического контроля с посещением субъекта (объекта) контроля и надзора и (или) проверки, их подписи или отказ от подписи;</w:t>
            </w:r>
          </w:p>
          <w:p>
            <w:pPr>
              <w:spacing w:after="20"/>
              <w:ind w:left="20"/>
              <w:jc w:val="both"/>
            </w:pPr>
            <w:r>
              <w:rPr>
                <w:rFonts w:ascii="Times New Roman"/>
                <w:b w:val="false"/>
                <w:i w:val="false"/>
                <w:color w:val="000000"/>
                <w:sz w:val="20"/>
              </w:rPr>
              <w:t>10)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7) указания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профилактическом контроле с посещением субъекта (объекта) контроля и надзора и (или) проверке, их подписи или отказ от подписи;</w:t>
            </w:r>
          </w:p>
          <w:p>
            <w:pPr>
              <w:spacing w:after="20"/>
              <w:ind w:left="20"/>
              <w:jc w:val="both"/>
            </w:pPr>
            <w:r>
              <w:rPr>
                <w:rFonts w:ascii="Times New Roman"/>
                <w:b w:val="false"/>
                <w:i w:val="false"/>
                <w:color w:val="000000"/>
                <w:sz w:val="20"/>
              </w:rPr>
              <w:t>9)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Неназначение органами контроля и надзора профилактического контроля с посещением субъекта (объекта) контроля и надзора и (или) проверки по вопросам, не входящим в их компетенцию.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 о результатах профилактического контроля с посещением субъекта (объекта) контроля и надзора и (или) проверки, в случаях выявления нарушений – предписание об устранении выявленных нарушений по результатам, проведенных профилактического контроля с посещением субъекта (объекта) контроля и надзора и (или) проверки в день их окончания.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соблюдать законодательство Республики Казахстан, права и законные интересы субъектов контроля и надзора;</w:t>
            </w:r>
          </w:p>
          <w:p>
            <w:pPr>
              <w:spacing w:after="20"/>
              <w:ind w:left="20"/>
              <w:jc w:val="both"/>
            </w:pPr>
            <w:r>
              <w:rPr>
                <w:rFonts w:ascii="Times New Roman"/>
                <w:b w:val="false"/>
                <w:i w:val="false"/>
                <w:color w:val="000000"/>
                <w:sz w:val="20"/>
              </w:rPr>
              <w:t>2) проводить профилактический контроль с посещением субъекта (объекта) контроля и надзора и (или) проверку на основании и в строгом соответствии с порядком, установленным Предпринимательским Кодексом Республики Казахстан и (или) иными законами Республики Казахстан;</w:t>
            </w:r>
          </w:p>
          <w:p>
            <w:pPr>
              <w:spacing w:after="20"/>
              <w:ind w:left="20"/>
              <w:jc w:val="both"/>
            </w:pP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5) не препятствовать субъекту контроля и надзора либо его уполномоченному представителю присутствовать при проведении профилактического контроля с посещением субъекта (объекта) контроля и надзора и (или) проверки, давать разъяснения по вопросам, относящимся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предоставлять субъекту контроля и надзора необходимую информацию, относящуюся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обеспечить сохранность документов и сведений, полученных в результате проведения профилактического контроля с посещением субъекта (объекта) контроля и надзора и (или) проверки.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профилактического контроля с посещением субъекта (объекта) контроля и надзора и (или) проверки субъектов малого предпринимательства, в том числе субъектов микропредпринимательства.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ежегодного Единого дня отчета в порядке, определяемом уполномоченным органом по предпринимательству.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соблюдению субъектами контроля порядка выдачи разрешений первой и второй категории, приема уведомления на осуществление предпринимательской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проверки соответствия требованиям, установленным нормативными правовыми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в течение трех рабочих дней о возобновлении действия разрешения и (или) приложения к разрешению, приостановленного по добровольному обращению в разрешительный орган физического и юридического лица, являющегося лицензиатом или владельцем разрешения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сведений о выданных разрешениях, направленных уведомлениях, условиях выдачи разрешений и направления уведомлений на веб-портале "электронного правительства" и интернет-ресурсах субъекта (объекта) контроля и надзора на казахском и русском языках, за исключением информации, содержащей государственные секреты и иную охраняемую законом тайну.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(объектом) контроля и надзора следующих обязанностей:</w:t>
            </w:r>
          </w:p>
          <w:p>
            <w:pPr>
              <w:spacing w:after="20"/>
              <w:ind w:left="20"/>
              <w:jc w:val="both"/>
            </w:pPr>
            <w:r>
              <w:rPr>
                <w:rFonts w:ascii="Times New Roman"/>
                <w:b w:val="false"/>
                <w:i w:val="false"/>
                <w:color w:val="000000"/>
                <w:sz w:val="20"/>
              </w:rPr>
              <w:t>1) осуществлять лицензирование и разрешительные процедуры в соответствии с Законом;</w:t>
            </w:r>
          </w:p>
          <w:p>
            <w:pPr>
              <w:spacing w:after="20"/>
              <w:ind w:left="20"/>
              <w:jc w:val="both"/>
            </w:pPr>
            <w:r>
              <w:rPr>
                <w:rFonts w:ascii="Times New Roman"/>
                <w:b w:val="false"/>
                <w:i w:val="false"/>
                <w:color w:val="000000"/>
                <w:sz w:val="20"/>
              </w:rPr>
              <w:t>2) создавать необходимые условия для лиц с ограниченными возможностями при получении ими разрешений;</w:t>
            </w:r>
          </w:p>
          <w:p>
            <w:pPr>
              <w:spacing w:after="20"/>
              <w:ind w:left="20"/>
              <w:jc w:val="both"/>
            </w:pPr>
            <w:r>
              <w:rPr>
                <w:rFonts w:ascii="Times New Roman"/>
                <w:b w:val="false"/>
                <w:i w:val="false"/>
                <w:color w:val="000000"/>
                <w:sz w:val="20"/>
              </w:rPr>
              <w:t>3) предоставлять в доступной форме полную и достоверную информацию о лицензировании, разрешительных процедурах, перечне требуемых для этого документов и порядке получения и оформления таких документов;</w:t>
            </w:r>
          </w:p>
          <w:p>
            <w:pPr>
              <w:spacing w:after="20"/>
              <w:ind w:left="20"/>
              <w:jc w:val="both"/>
            </w:pPr>
            <w:r>
              <w:rPr>
                <w:rFonts w:ascii="Times New Roman"/>
                <w:b w:val="false"/>
                <w:i w:val="false"/>
                <w:color w:val="000000"/>
                <w:sz w:val="20"/>
              </w:rPr>
              <w:t>4) предоставлять государственным органам и Государственной корпорации документы и (или) информацию, необходимые для осуществления лицензирования и разрешительных процедур, в том числе посредством информационных систем;</w:t>
            </w:r>
          </w:p>
          <w:p>
            <w:pPr>
              <w:spacing w:after="20"/>
              <w:ind w:left="20"/>
              <w:jc w:val="both"/>
            </w:pPr>
            <w:r>
              <w:rPr>
                <w:rFonts w:ascii="Times New Roman"/>
                <w:b w:val="false"/>
                <w:i w:val="false"/>
                <w:color w:val="000000"/>
                <w:sz w:val="20"/>
              </w:rPr>
              <w:t>5) принимать меры, направленные на восстановление нарушенных прав, свобод и законных интересов заявителей, лицензиатов и владельцев разрешений второй категории;</w:t>
            </w:r>
          </w:p>
          <w:p>
            <w:pPr>
              <w:spacing w:after="20"/>
              <w:ind w:left="20"/>
              <w:jc w:val="both"/>
            </w:pPr>
            <w:r>
              <w:rPr>
                <w:rFonts w:ascii="Times New Roman"/>
                <w:b w:val="false"/>
                <w:i w:val="false"/>
                <w:color w:val="000000"/>
                <w:sz w:val="20"/>
              </w:rPr>
              <w:t>6) в пределах своей компетенции обеспечивать бесперебойное функционирование и наполнение информационных систем, содержащих необходимые сведения для выдачи разрешений;</w:t>
            </w:r>
          </w:p>
          <w:p>
            <w:pPr>
              <w:spacing w:after="20"/>
              <w:ind w:left="20"/>
              <w:jc w:val="both"/>
            </w:pPr>
            <w:r>
              <w:rPr>
                <w:rFonts w:ascii="Times New Roman"/>
                <w:b w:val="false"/>
                <w:i w:val="false"/>
                <w:color w:val="000000"/>
                <w:sz w:val="20"/>
              </w:rPr>
              <w:t>7) получать письменное согласие заявителей, лицензиатов и владельцев разрешений второй категории, в том числе в форме электронного документа, на использование персональных данных ограниченного доступа, составляющих охраняемую законом тайну, содержащихся в информационных системах, при выдаче разрешений.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субъектами (объектами) контроля и надзора требований по срокам действия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разрешений осуществляется на равных основаниях и равных условиях для всех лиц, отвечающих квалификационным или разрешительным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рассмотрении документов заявителя при лицензировании и осуществлении разрешительной процедуры только в случае установления факта неполноты представленных документов в течение двух рабочих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при переоформлении лицензии и (или) приложения к лицензии в случае непредставления или ненадлежащего оформления документов, несоответствия заявителя квалификационным требованиям и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разрешительным органом согласований (сопутствующих разрешений) государственных органов на предмет соответствия заявителя установленным требованиям, с направлением запроса разрешительным органом для получения согласований в соответствующие государственные органы по месту осуществления заявителем предстоящей деятельности в течение двух рабочих дней со дня регистрации документов заявителя на получение разрешения и (или) приложения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разрешительным органом разрешения и (или) приложения к разрешению заявителю в случае просрочки выдачи разрешения не позднее пяти рабочих дней с момента истечения срока его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по месту регистрации физического или юридического лица либо филиала или представительства иностранного юридического лица, за исключением лицензий, выдаваемых по классу "разрешения, выдаваемые на объекты", которые выдаются по месту осуществления ими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требование от заявителей предоставления следующих документов;</w:t>
            </w:r>
          </w:p>
          <w:p>
            <w:pPr>
              <w:spacing w:after="20"/>
              <w:ind w:left="20"/>
              <w:jc w:val="both"/>
            </w:pPr>
            <w:r>
              <w:rPr>
                <w:rFonts w:ascii="Times New Roman"/>
                <w:b w:val="false"/>
                <w:i w:val="false"/>
                <w:color w:val="000000"/>
                <w:sz w:val="20"/>
              </w:rPr>
              <w:t>1) для юридических лиц, осуществляющих деятельность в финансовой сфере и деятельность, связанную с концентрацией финансовых ресурсов, а также деятельность, связанную с оборотом гражданского и служебного оружия и патронов к нему, деятельность, связанную с оборотом наркотических средств, психотропных веществ, прекурсоров, деятельность, связанную с осуществлением охранной деятельности, – копия устава (нотариально засвидетельствованная в случае непредставления оригиналов для сверки);</w:t>
            </w:r>
          </w:p>
          <w:p>
            <w:pPr>
              <w:spacing w:after="20"/>
              <w:ind w:left="20"/>
              <w:jc w:val="both"/>
            </w:pPr>
            <w:r>
              <w:rPr>
                <w:rFonts w:ascii="Times New Roman"/>
                <w:b w:val="false"/>
                <w:i w:val="false"/>
                <w:color w:val="000000"/>
                <w:sz w:val="20"/>
              </w:rPr>
              <w:t>2) справка о государственной регистрации (перерегистрации) юридического лица заявителя – для юридического лица;</w:t>
            </w:r>
          </w:p>
          <w:p>
            <w:pPr>
              <w:spacing w:after="20"/>
              <w:ind w:left="20"/>
              <w:jc w:val="both"/>
            </w:pPr>
            <w:r>
              <w:rPr>
                <w:rFonts w:ascii="Times New Roman"/>
                <w:b w:val="false"/>
                <w:i w:val="false"/>
                <w:color w:val="000000"/>
                <w:sz w:val="20"/>
              </w:rPr>
              <w:t>3) копия документа, удостоверяющего личность, – для физического лица, если информацию о таких документах лицензиар может получить из соответствующих государственных информационных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со сроком действия без ограничения срока его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выдачи лицензии и (или) приложения к лицензии либо мотивированного отказа в их выдаче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образования, сфере углеводородов, которые выдаются не позднее тридцати рабочих дней со дня представления заявления с соответствующими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взимание лицензионного сбора при выдаче приложений к лицензии (дубликатов приложений к лицензии), а также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выдаче лицензии и (или) приложения к лицензии в случаях:</w:t>
            </w:r>
          </w:p>
          <w:p>
            <w:pPr>
              <w:spacing w:after="20"/>
              <w:ind w:left="20"/>
              <w:jc w:val="both"/>
            </w:pPr>
            <w:r>
              <w:rPr>
                <w:rFonts w:ascii="Times New Roman"/>
                <w:b w:val="false"/>
                <w:i w:val="false"/>
                <w:color w:val="000000"/>
                <w:sz w:val="20"/>
              </w:rPr>
              <w:t>1) занятие видом деятельности запрещено для данной категории физических или юридических лиц;</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7) установлена недостоверность документов, представленных заявителем для получения лицензии, и (или) данных (сведений), содержащихся в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в случаях:</w:t>
            </w:r>
          </w:p>
          <w:p>
            <w:pPr>
              <w:spacing w:after="20"/>
              <w:ind w:left="20"/>
              <w:jc w:val="both"/>
            </w:pPr>
            <w:r>
              <w:rPr>
                <w:rFonts w:ascii="Times New Roman"/>
                <w:b w:val="false"/>
                <w:i w:val="false"/>
                <w:color w:val="000000"/>
                <w:sz w:val="20"/>
              </w:rPr>
              <w:t>1) изменения фамилии, имени, отчества (при его наличии) физического лица-лицензиата;</w:t>
            </w:r>
          </w:p>
          <w:p>
            <w:pPr>
              <w:spacing w:after="20"/>
              <w:ind w:left="20"/>
              <w:jc w:val="both"/>
            </w:pPr>
            <w:r>
              <w:rPr>
                <w:rFonts w:ascii="Times New Roman"/>
                <w:b w:val="false"/>
                <w:i w:val="false"/>
                <w:color w:val="000000"/>
                <w:sz w:val="20"/>
              </w:rPr>
              <w:t>2) перерегистрации индивидуального предпринимателя-лицензиата, изменении его наименования или юридического адреса;</w:t>
            </w:r>
          </w:p>
          <w:p>
            <w:pPr>
              <w:spacing w:after="20"/>
              <w:ind w:left="20"/>
              <w:jc w:val="both"/>
            </w:pPr>
            <w:r>
              <w:rPr>
                <w:rFonts w:ascii="Times New Roman"/>
                <w:b w:val="false"/>
                <w:i w:val="false"/>
                <w:color w:val="000000"/>
                <w:sz w:val="20"/>
              </w:rPr>
              <w:t xml:space="preserve">3) реорганизации юридического лица-лицензиата в соответствии с порядком, определенным в соответствии с </w:t>
            </w:r>
            <w:r>
              <w:rPr>
                <w:rFonts w:ascii="Times New Roman"/>
                <w:b w:val="false"/>
                <w:i w:val="false"/>
                <w:color w:val="000000"/>
                <w:sz w:val="20"/>
              </w:rPr>
              <w:t>Законом</w:t>
            </w:r>
            <w:r>
              <w:rPr>
                <w:rFonts w:ascii="Times New Roman"/>
                <w:b w:val="false"/>
                <w:i w:val="false"/>
                <w:color w:val="000000"/>
                <w:sz w:val="20"/>
              </w:rPr>
              <w:t>;</w:t>
            </w:r>
          </w:p>
          <w:p>
            <w:pPr>
              <w:spacing w:after="20"/>
              <w:ind w:left="20"/>
              <w:jc w:val="both"/>
            </w:pPr>
            <w:r>
              <w:rPr>
                <w:rFonts w:ascii="Times New Roman"/>
                <w:b w:val="false"/>
                <w:i w:val="false"/>
                <w:color w:val="000000"/>
                <w:sz w:val="20"/>
              </w:rPr>
              <w:t>4) изменения наименования и (или) места нахождения юридического лица-лицензиата;</w:t>
            </w:r>
          </w:p>
          <w:p>
            <w:pPr>
              <w:spacing w:after="20"/>
              <w:ind w:left="20"/>
              <w:jc w:val="both"/>
            </w:pPr>
            <w:r>
              <w:rPr>
                <w:rFonts w:ascii="Times New Roman"/>
                <w:b w:val="false"/>
                <w:i w:val="false"/>
                <w:color w:val="000000"/>
                <w:sz w:val="20"/>
              </w:rPr>
              <w:t xml:space="preserve">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0"/>
              </w:rPr>
              <w:t>приложением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6) изменения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p>
            <w:pPr>
              <w:spacing w:after="20"/>
              <w:ind w:left="20"/>
              <w:jc w:val="both"/>
            </w:pPr>
            <w:r>
              <w:rPr>
                <w:rFonts w:ascii="Times New Roman"/>
                <w:b w:val="false"/>
                <w:i w:val="false"/>
                <w:color w:val="000000"/>
                <w:sz w:val="20"/>
              </w:rPr>
              <w:t>7) наличия требования о переоформлении в законах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переоформлении лицензии и (или) приложения не требование от заявителей предоставления иных документов, за исключением:</w:t>
            </w:r>
          </w:p>
          <w:p>
            <w:pPr>
              <w:spacing w:after="20"/>
              <w:ind w:left="20"/>
              <w:jc w:val="both"/>
            </w:pP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2) для случаев переоформления лицензии – документа,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осуществление лицензиаром проверки соответствия заявителя квалификационным требованиям при переоформлении лицензии и (или) приложения, за исключением переоформления при реорганизации юридического лица-лицензиата в форме выделения 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отказа в переоформлении лицензии и (или) приложения к лицензии в случаях непредставления или ненадлежащего оформления заявителем следующих документов:</w:t>
            </w:r>
          </w:p>
          <w:p>
            <w:pPr>
              <w:spacing w:after="20"/>
              <w:ind w:left="20"/>
              <w:jc w:val="both"/>
            </w:pPr>
            <w:r>
              <w:rPr>
                <w:rFonts w:ascii="Times New Roman"/>
                <w:b w:val="false"/>
                <w:i w:val="false"/>
                <w:color w:val="000000"/>
                <w:sz w:val="20"/>
              </w:rPr>
              <w:t>1) заявления по форме, утверждаемой уполномоченным органом в сфере разрешений и уведомлений, Национальным Банком Республики Казахстан или уполномоченным органом по регулированию, контролю и надзору финансового рынка и финансовых организаций;</w:t>
            </w:r>
          </w:p>
          <w:p>
            <w:pPr>
              <w:spacing w:after="20"/>
              <w:ind w:left="20"/>
              <w:jc w:val="both"/>
            </w:pPr>
            <w:r>
              <w:rPr>
                <w:rFonts w:ascii="Times New Roman"/>
                <w:b w:val="false"/>
                <w:i w:val="false"/>
                <w:color w:val="000000"/>
                <w:sz w:val="20"/>
              </w:rPr>
              <w:t>2) для случаев переоформления лицензии – документ, подтверждающий уплату лицензионного сбора,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 а также в случае несоответствия заявителя квалификационным требованиям.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оформления лицензии и (или) приложения к лицензиям в электронной форме с соблюдением следующих требований:</w:t>
            </w:r>
          </w:p>
          <w:p>
            <w:pPr>
              <w:spacing w:after="20"/>
              <w:ind w:left="20"/>
              <w:jc w:val="both"/>
            </w:pPr>
            <w:r>
              <w:rPr>
                <w:rFonts w:ascii="Times New Roman"/>
                <w:b w:val="false"/>
                <w:i w:val="false"/>
                <w:color w:val="000000"/>
                <w:sz w:val="20"/>
              </w:rPr>
              <w:t>1) в случае обращения заявителя за получением разрешения и (или) приложения к разрешению на бумажном носителе разрешение и (или) приложение к разрешению оформляются в электронной форме, распечатываются и заверяются печатью разрешительного органа и подписью руководителя разрешительного органа;</w:t>
            </w:r>
          </w:p>
          <w:p>
            <w:pPr>
              <w:spacing w:after="20"/>
              <w:ind w:left="20"/>
              <w:jc w:val="both"/>
            </w:pPr>
            <w:r>
              <w:rPr>
                <w:rFonts w:ascii="Times New Roman"/>
                <w:b w:val="false"/>
                <w:i w:val="false"/>
                <w:color w:val="000000"/>
                <w:sz w:val="20"/>
              </w:rPr>
              <w:t>2) разрешение и (или) приложение к разрешению выдаются на бумажном носителе в случае отсутствия возможности выдать разрешение и (или) приложение к разрешению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лицензии и (или) приложения к лицензии лицензиаром в течение трех рабочих дней с момента подачи документов, за исключением переоформления лицензии при реорганизации юридического лица в форме выделения или 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переоформления на вновь возникшее юридическое лицо в результате слияния нескольких юридических лиц-лицензиатов, имеющих лицензии на один и тот же лицензируемый вид деятельности или подвид лицензируемого вида деятельности, только одной лицензии и (или) приложения к лицензии по выбору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произведение переоформления лицензии присоединяемого юридического лица на юридическое лицо, к которому присоединяется юридическое лицо, если у присоединяемого юридического лица и у юридического лица, к которому присоединяется присоединяемое юридическое лицо, имеются лицензии на один и тот же лицензируемый вид деятельности или подвид лицензируемого вида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отказа в переоформлении лицензии и (или) приложения к лицензии, инициированном при реорганизации юридического лица-лицензиата в форме разделения по следующим основаниям:</w:t>
            </w:r>
          </w:p>
          <w:p>
            <w:pPr>
              <w:spacing w:after="20"/>
              <w:ind w:left="20"/>
              <w:jc w:val="both"/>
            </w:pPr>
            <w:r>
              <w:rPr>
                <w:rFonts w:ascii="Times New Roman"/>
                <w:b w:val="false"/>
                <w:i w:val="false"/>
                <w:color w:val="000000"/>
                <w:sz w:val="20"/>
              </w:rPr>
              <w:t>1) непредставления или ненадлежащего оформления документов;</w:t>
            </w:r>
          </w:p>
          <w:p>
            <w:pPr>
              <w:spacing w:after="20"/>
              <w:ind w:left="20"/>
              <w:jc w:val="both"/>
            </w:pPr>
            <w:r>
              <w:rPr>
                <w:rFonts w:ascii="Times New Roman"/>
                <w:b w:val="false"/>
                <w:i w:val="false"/>
                <w:color w:val="000000"/>
                <w:sz w:val="20"/>
              </w:rPr>
              <w:t>2) несоответствия заявителя квалификационным требованиям;</w:t>
            </w:r>
          </w:p>
          <w:p>
            <w:pPr>
              <w:spacing w:after="20"/>
              <w:ind w:left="20"/>
              <w:jc w:val="both"/>
            </w:pPr>
            <w:r>
              <w:rPr>
                <w:rFonts w:ascii="Times New Roman"/>
                <w:b w:val="false"/>
                <w:i w:val="false"/>
                <w:color w:val="000000"/>
                <w:sz w:val="20"/>
              </w:rPr>
              <w:t>3) если ранее лицензия и (или) приложение к лицензии были переоформлены на другое юридическое лицо из числа вновь возникших в результате разделения юридических лиц-лицензиатов.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лицензиарами выдачи переоформленной лицензии (или) приложения к лицензии при реорганизации юридического лица-лицензиата в форме выделения или разделения не позднее пятнадцати рабочих дней, за исключением лицензий и (или) приложений к лицензиям в сфере использования атомной энергии, финансовой сфере и деятельности, связанной с концентрацией финансовых ресурсов, сфере импорта и экспорта продукции, подлежащей экспортному контролю, сфере образования, сфере углеводородов, которые переоформляются не позднее тридцати рабочих дней со дня представления заявления с документами либо предоставления мотивированного отказа в указанные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прекращения действия лицензии и (или) приложения к лицензии в случаях:</w:t>
            </w:r>
          </w:p>
          <w:p>
            <w:pPr>
              <w:spacing w:after="20"/>
              <w:ind w:left="20"/>
              <w:jc w:val="both"/>
            </w:pPr>
            <w:r>
              <w:rPr>
                <w:rFonts w:ascii="Times New Roman"/>
                <w:b w:val="false"/>
                <w:i w:val="false"/>
                <w:color w:val="000000"/>
                <w:sz w:val="20"/>
              </w:rPr>
              <w:t>1) истечения срока, на который они выданы;</w:t>
            </w:r>
          </w:p>
          <w:p>
            <w:pPr>
              <w:spacing w:after="20"/>
              <w:ind w:left="20"/>
              <w:jc w:val="both"/>
            </w:pPr>
            <w:r>
              <w:rPr>
                <w:rFonts w:ascii="Times New Roman"/>
                <w:b w:val="false"/>
                <w:i w:val="false"/>
                <w:color w:val="000000"/>
                <w:sz w:val="20"/>
              </w:rPr>
              <w:t>2) совершения действий (операций) в полном объеме, на осуществление которых они выданы;</w:t>
            </w:r>
          </w:p>
          <w:p>
            <w:pPr>
              <w:spacing w:after="20"/>
              <w:ind w:left="20"/>
              <w:jc w:val="both"/>
            </w:pPr>
            <w:r>
              <w:rPr>
                <w:rFonts w:ascii="Times New Roman"/>
                <w:b w:val="false"/>
                <w:i w:val="false"/>
                <w:color w:val="000000"/>
                <w:sz w:val="20"/>
              </w:rPr>
              <w:t>3) лишения (отзыва) лицензии и (или) приложения к лицензии;</w:t>
            </w:r>
          </w:p>
          <w:p>
            <w:pPr>
              <w:spacing w:after="20"/>
              <w:ind w:left="20"/>
              <w:jc w:val="both"/>
            </w:pPr>
            <w:r>
              <w:rPr>
                <w:rFonts w:ascii="Times New Roman"/>
                <w:b w:val="false"/>
                <w:i w:val="false"/>
                <w:color w:val="000000"/>
                <w:sz w:val="20"/>
              </w:rPr>
              <w:t>4) прекращения деятельности физического лица, ликвидации юридического лица;</w:t>
            </w:r>
          </w:p>
          <w:p>
            <w:pPr>
              <w:spacing w:after="20"/>
              <w:ind w:left="20"/>
              <w:jc w:val="both"/>
            </w:pPr>
            <w:r>
              <w:rPr>
                <w:rFonts w:ascii="Times New Roman"/>
                <w:b w:val="false"/>
                <w:i w:val="false"/>
                <w:color w:val="000000"/>
                <w:sz w:val="20"/>
              </w:rPr>
              <w:t>5) добровольного обращения лицензиата к лицензиару о прекращении действия лицензии и (или) приложения к лицензии;</w:t>
            </w:r>
          </w:p>
          <w:p>
            <w:pPr>
              <w:spacing w:after="20"/>
              <w:ind w:left="20"/>
              <w:jc w:val="both"/>
            </w:pPr>
            <w:r>
              <w:rPr>
                <w:rFonts w:ascii="Times New Roman"/>
                <w:b w:val="false"/>
                <w:i w:val="false"/>
                <w:color w:val="000000"/>
                <w:sz w:val="20"/>
              </w:rPr>
              <w:t xml:space="preserve">6) исключения лицензии или отдельного вида деятельности и (или) подвида деятельности или действия (операции) из </w:t>
            </w:r>
            <w:r>
              <w:rPr>
                <w:rFonts w:ascii="Times New Roman"/>
                <w:b w:val="false"/>
                <w:i w:val="false"/>
                <w:color w:val="000000"/>
                <w:sz w:val="20"/>
              </w:rPr>
              <w:t>приложения 1</w:t>
            </w:r>
            <w:r>
              <w:rPr>
                <w:rFonts w:ascii="Times New Roman"/>
                <w:b w:val="false"/>
                <w:i w:val="false"/>
                <w:color w:val="000000"/>
                <w:sz w:val="20"/>
              </w:rPr>
              <w:t xml:space="preserve"> к Закону;</w:t>
            </w:r>
          </w:p>
          <w:p>
            <w:pPr>
              <w:spacing w:after="20"/>
              <w:ind w:left="20"/>
              <w:jc w:val="both"/>
            </w:pPr>
            <w:r>
              <w:rPr>
                <w:rFonts w:ascii="Times New Roman"/>
                <w:b w:val="false"/>
                <w:i w:val="false"/>
                <w:color w:val="000000"/>
                <w:sz w:val="20"/>
              </w:rPr>
              <w:t>7) исключения лицензиата из числа лиц, подлежащих лицензированию.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особых условий лицензирования отдельных видов деятельности в сферах игорного бизнеса, архитектуры, градостроительства и строительства 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разрешительными органами общих положений о лицензировании в сфере экспорта и импорта.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разрешительным органом сроков выдачи разрешений второй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мотивированного отказа в выдаче заявителю разрешения второй категории в сроки, установленные для выдачи разрешения второй категории с указанием причины отказа.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выдачи дубликатов разрешения и (или) приложения к разрешению с надписью "дубликат" в правом верхнем углу и указанием даты первичной выдачи разрешения и (или) приложения к разрешению и даты их переоформления в течение двух рабочих дней со дня подачи соответствующего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в течение двух рабочих дней со дня подачи заявителем соответствующего заявления внесения необходимых изменений в государственный электронный реестр разрешений и уведомлений и выдачи разрешение и (или) приложение к разрешению с соответствующими исправлениями (в случае обнаружения ошибок в выданном разрешении и (или) приложении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приостановления действия разрешения и (или) приложения к разрешению.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разрешительным органом проверки устранения нарушений в течение десяти рабочих дней со дня подачи заявителем заявления об устранении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непредставления лицензиатом или владельцем разрешения второй категории заявления об устранении нарушений, явившихся основанием для приостановления разрешения и (или) приложения к разрешению до истечения срока приостановления, инициирование разрешительным органом процедуры лишения (отзыва) разрешения и (или) приложения к разрешению в течение десяти рабочих дней с момента истечения срока приостановления.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осуществление разрешительным органом лишения (отзыва) разрешения.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истребование от заявителей документов и иной информации, которые могут быть получены из государственных электронных информационных ресурсов при уведомительном порядке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государственными органами, осуществляющими прием уведомлений, заявителям в течение трех рабочих дней со дня обращения выписки из государственного электронного реестра разрешений и уведомлений о направленных заявителями уведомлениях.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разрешительными органами в государственный электронный реестр разрешений и уведомлений информации об осуществленных разрешительных процедурах в бумажной форме одновременно с осуществлением разрешительной процедуры, за исключением разрешений, не подлежащих автоматизации.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разрешительными органами на постоянной основе государственного электронного реестра разрешений и уведомлений с обязательным внесением соответствующих сведений, в случае приостановления деятельности или отдельных видов деятельности или действий (операций)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субъектом (объектом) контроля и надзора исключения уведомления из государственного электронного реестра разрешений и уведомлений по заявлению заявителя, по решению суда о запрещении деятельности или отдельных видов деятельности или действий физического или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2023 года № 63</w:t>
            </w:r>
          </w:p>
        </w:tc>
      </w:tr>
    </w:tbl>
    <w:bookmarkStart w:name="z43" w:id="28"/>
    <w:p>
      <w:pPr>
        <w:spacing w:after="0"/>
        <w:ind w:left="0"/>
        <w:jc w:val="left"/>
      </w:pPr>
      <w:r>
        <w:rPr>
          <w:rFonts w:ascii="Times New Roman"/>
          <w:b/>
          <w:i w:val="false"/>
          <w:color w:val="000000"/>
        </w:rPr>
        <w:t xml:space="preserve"> Проверочный лист в области поддержки и защиты субъектов предпринимательства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государственных органов, осуществляющих контроль в сферах деятельности субъектов предпринимательства</w:t>
      </w:r>
    </w:p>
    <w:bookmarkEnd w:id="28"/>
    <w:p>
      <w:pPr>
        <w:spacing w:after="0"/>
        <w:ind w:left="0"/>
        <w:jc w:val="both"/>
      </w:pPr>
      <w:bookmarkStart w:name="z44" w:id="29"/>
      <w:r>
        <w:rPr>
          <w:rFonts w:ascii="Times New Roman"/>
          <w:b w:val="false"/>
          <w:i w:val="false"/>
          <w:color w:val="000000"/>
          <w:sz w:val="28"/>
        </w:rPr>
        <w:t>
      Государственный орган, назначивший проверку/профилактический контроль</w:t>
      </w:r>
    </w:p>
    <w:bookmarkEnd w:id="29"/>
    <w:p>
      <w:pPr>
        <w:spacing w:after="0"/>
        <w:ind w:left="0"/>
        <w:jc w:val="both"/>
      </w:pPr>
      <w:r>
        <w:rPr>
          <w:rFonts w:ascii="Times New Roman"/>
          <w:b w:val="false"/>
          <w:i w:val="false"/>
          <w:color w:val="000000"/>
          <w:sz w:val="28"/>
        </w:rPr>
        <w:t>с посещением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оценки степени риска и проверочных листов, применяемые для проведения профилактического контроля с посещением субъекта (объекта) контроля и надзора и (или) проверок на соответствие требованиям, утвержденных совместным актом регулирующего государственного органа, уполномоченного органа по предпринимательству и размещенных на интернет-ресурсах регулирующего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касающиеся критериев оценки степени риска для отбора субъектов (объектов) контроля и надзора, проверочных листов, которые размещаются на интернет-ресурсах регулирующих государственных органов и иных цифровых платформах.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проверочных листов в сфере частного предпринимательства, утвержденных совместным актом регулирующего государственного органа и уполномоченного органа по предпринимательству и размещенных на интернет-ресурсах регулирующих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без посещения субъекта (объекта) контроля и надзора на основании анализа отчетности, представляемой субъектами частного предпринимательства, сведений уполномоченных государственных органов, а также полученных из государственных информационных систем и электронных информационных ресурсов, и других документов и сведений о деятельности субъекта (объекта)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в отношении конкретного субъекта (объекта) контроля и надзора на основании полугодового графика и полугодового списка, утвержденного регулирующим государственным органом или местным исполнительным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в отношении конкретного субъекта (объекта) контроля и надзора по следующим основаниям:</w:t>
            </w:r>
          </w:p>
          <w:p>
            <w:pPr>
              <w:spacing w:after="20"/>
              <w:ind w:left="20"/>
              <w:jc w:val="both"/>
            </w:pPr>
            <w:r>
              <w:rPr>
                <w:rFonts w:ascii="Times New Roman"/>
                <w:b w:val="false"/>
                <w:i w:val="false"/>
                <w:color w:val="000000"/>
                <w:sz w:val="20"/>
              </w:rPr>
              <w:t>1) контроль исполнения предписаний об устранении выявленных грубых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w:t>
            </w:r>
          </w:p>
          <w:p>
            <w:pPr>
              <w:spacing w:after="20"/>
              <w:ind w:left="20"/>
              <w:jc w:val="both"/>
            </w:pPr>
            <w:r>
              <w:rPr>
                <w:rFonts w:ascii="Times New Roman"/>
                <w:b w:val="false"/>
                <w:i w:val="false"/>
                <w:color w:val="000000"/>
                <w:sz w:val="20"/>
              </w:rPr>
              <w:t>2) контроль исполнения предписаний об устранении выявленных значительных и незначительных нарушений, определенных в критериях оценки степени риска, в результате проверки на соответствие требованиям и профилактического контроля с посещением субъекта (объекта) контроля и надзора в случаях, если субъект контроля и надзора более одного раза не предоставил информацию об устранении выявленных нарушений и (или) не устранил нарушения;</w:t>
            </w:r>
          </w:p>
          <w:p>
            <w:pPr>
              <w:spacing w:after="20"/>
              <w:ind w:left="20"/>
              <w:jc w:val="both"/>
            </w:pPr>
            <w:r>
              <w:rPr>
                <w:rFonts w:ascii="Times New Roman"/>
                <w:b w:val="false"/>
                <w:i w:val="false"/>
                <w:color w:val="000000"/>
                <w:sz w:val="20"/>
              </w:rPr>
              <w:t>3) обращения физических и юридических лиц по нарушениям требований законодательства Республики Казахстан при наличии убедительных оснований и подтверждающих доказательств;</w:t>
            </w:r>
          </w:p>
          <w:p>
            <w:pPr>
              <w:spacing w:after="20"/>
              <w:ind w:left="20"/>
              <w:jc w:val="both"/>
            </w:pPr>
            <w:r>
              <w:rPr>
                <w:rFonts w:ascii="Times New Roman"/>
                <w:b w:val="false"/>
                <w:i w:val="false"/>
                <w:color w:val="000000"/>
                <w:sz w:val="20"/>
              </w:rPr>
              <w:t>4) поручения органов прокуратуры по конкретным фактам причинения либо об угрозе причинения вреда жизни, здоровью человека, окружающей среде и законным интересам физических и юридических лиц, государства;</w:t>
            </w:r>
          </w:p>
          <w:p>
            <w:pPr>
              <w:spacing w:after="20"/>
              <w:ind w:left="20"/>
              <w:jc w:val="both"/>
            </w:pPr>
            <w:r>
              <w:rPr>
                <w:rFonts w:ascii="Times New Roman"/>
                <w:b w:val="false"/>
                <w:i w:val="false"/>
                <w:color w:val="000000"/>
                <w:sz w:val="20"/>
              </w:rPr>
              <w:t>5) обращения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а также нарушений требований законодательства Республики Казахстан, неустранение которых влечет причинение вреда жизни и здоровью человека;</w:t>
            </w:r>
          </w:p>
          <w:p>
            <w:pPr>
              <w:spacing w:after="20"/>
              <w:ind w:left="20"/>
              <w:jc w:val="both"/>
            </w:pPr>
            <w:r>
              <w:rPr>
                <w:rFonts w:ascii="Times New Roman"/>
                <w:b w:val="false"/>
                <w:i w:val="false"/>
                <w:color w:val="000000"/>
                <w:sz w:val="20"/>
              </w:rPr>
              <w:t>6) повторная проверка, связанная с обращением субъекта контроля и надзора о несогласии с первоначальной проверкой (неправомерность применения мер оперативного реагирования);</w:t>
            </w:r>
          </w:p>
          <w:p>
            <w:pPr>
              <w:spacing w:after="20"/>
              <w:ind w:left="20"/>
              <w:jc w:val="both"/>
            </w:pPr>
            <w:r>
              <w:rPr>
                <w:rFonts w:ascii="Times New Roman"/>
                <w:b w:val="false"/>
                <w:i w:val="false"/>
                <w:color w:val="000000"/>
                <w:sz w:val="20"/>
              </w:rPr>
              <w:t>7) поручение органа уголовного преследования по основаниям, предусмотренным Уголовно-процессуальным кодексом Республики Казахстан;</w:t>
            </w:r>
          </w:p>
          <w:p>
            <w:pPr>
              <w:spacing w:after="20"/>
              <w:ind w:left="20"/>
              <w:jc w:val="both"/>
            </w:pPr>
            <w:r>
              <w:rPr>
                <w:rFonts w:ascii="Times New Roman"/>
                <w:b w:val="false"/>
                <w:i w:val="false"/>
                <w:color w:val="000000"/>
                <w:sz w:val="20"/>
              </w:rPr>
              <w:t xml:space="preserve">8) обращения налогоплательщика, сведения и вопросы, определенные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расследования по следующим основаниям:</w:t>
            </w:r>
          </w:p>
          <w:p>
            <w:pPr>
              <w:spacing w:after="20"/>
              <w:ind w:left="20"/>
              <w:jc w:val="both"/>
            </w:pPr>
            <w:r>
              <w:rPr>
                <w:rFonts w:ascii="Times New Roman"/>
                <w:b w:val="false"/>
                <w:i w:val="false"/>
                <w:color w:val="000000"/>
                <w:sz w:val="20"/>
              </w:rPr>
              <w:t>1) обращения физических и (или) юридических лиц, а также государственных органов по конкретным фактам причинения вреда жизни, здоровью человека, окружающей среде и законным интересам физических и юридических лиц, государства в случаях, когда такой факт коснулся широкого круга лиц и требуется установить конкретный субъект (объект) контроля и надзора, допустивший нарушения;</w:t>
            </w:r>
          </w:p>
          <w:p>
            <w:pPr>
              <w:spacing w:after="20"/>
              <w:ind w:left="20"/>
              <w:jc w:val="both"/>
            </w:pPr>
            <w:r>
              <w:rPr>
                <w:rFonts w:ascii="Times New Roman"/>
                <w:b w:val="false"/>
                <w:i w:val="false"/>
                <w:color w:val="000000"/>
                <w:sz w:val="20"/>
              </w:rPr>
              <w:t xml:space="preserve">2) информация (экстренное извещение) о наступлении смерти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здоровье народа и системе здравоохранения";</w:t>
            </w:r>
          </w:p>
          <w:p>
            <w:pPr>
              <w:spacing w:after="20"/>
              <w:ind w:left="20"/>
              <w:jc w:val="both"/>
            </w:pPr>
            <w:r>
              <w:rPr>
                <w:rFonts w:ascii="Times New Roman"/>
                <w:b w:val="false"/>
                <w:i w:val="false"/>
                <w:color w:val="000000"/>
                <w:sz w:val="20"/>
              </w:rPr>
              <w:t>3) информация (экстренное извещение), подаваемая государственными органами или субъектами деятельности, о возникновении и распространении эпидемии, фальсифицированных и незарегистрированных пестицидов, ветеринарных препаратов, кормовых добавок, очагов карантинных объектов и особо опасных вредных организмов, инфекционных, паразитарных заболеваний, отравлений, радиационных аварий;</w:t>
            </w:r>
          </w:p>
          <w:p>
            <w:pPr>
              <w:spacing w:after="20"/>
              <w:ind w:left="20"/>
              <w:jc w:val="both"/>
            </w:pPr>
            <w:r>
              <w:rPr>
                <w:rFonts w:ascii="Times New Roman"/>
                <w:b w:val="false"/>
                <w:i w:val="false"/>
                <w:color w:val="000000"/>
                <w:sz w:val="20"/>
              </w:rPr>
              <w:t>4) случаи повреждения здоровья работников, связанные с их трудовой деятельностью и приведшие к нетрудоспособности либо смерти;</w:t>
            </w:r>
          </w:p>
          <w:p>
            <w:pPr>
              <w:spacing w:after="20"/>
              <w:ind w:left="20"/>
              <w:jc w:val="both"/>
            </w:pPr>
            <w:r>
              <w:rPr>
                <w:rFonts w:ascii="Times New Roman"/>
                <w:b w:val="false"/>
                <w:i w:val="false"/>
                <w:color w:val="000000"/>
                <w:sz w:val="20"/>
              </w:rPr>
              <w:t>5) аварии, технологические нарушения или инциденты, по которым возникает необходимость выяснения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в области электроэнергетики, определение мероприятий по ликвидации последствий и предотвращению подобных аварий, технологических нарушений или инцидентов, материального ущерба, причиненного аварией, технологическим нарушением или инцидентом;</w:t>
            </w:r>
          </w:p>
          <w:p>
            <w:pPr>
              <w:spacing w:after="20"/>
              <w:ind w:left="20"/>
              <w:jc w:val="both"/>
            </w:pPr>
            <w:r>
              <w:rPr>
                <w:rFonts w:ascii="Times New Roman"/>
                <w:b w:val="false"/>
                <w:i w:val="false"/>
                <w:color w:val="000000"/>
                <w:sz w:val="20"/>
              </w:rPr>
              <w:t>6) результаты исследования продукции по итогам контрольного закупа в случае выявления нарушения требований, установленных нормативными правовыми актами и (или) нормативными техническими документами, представляющего опасность для жизни, здоровья человека и среды обитания.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контрольного закупа в порядке, определенном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Непроведение профилактического контроля с посещением субъектов (объектов) государственного контроля и надзора без проведения профилактического контроля без посещения субъектов (объектов) государственного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минимально допустимого порога количества субъектов (объектов) контроля и надзора (пяти процентов от общего количества субъектов (объектов) контроля и надзора), в отношении которых осуществляется профилактический контроль с посещением субъекта (объекта) контроля и надзора и (или) проверка при отсутствии информационной системы оценки и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кратности проведения профилактического контроля с посещением субъекта (объекта) контроля и надзора и (или) проверки на соответствие требованиям, указанным в нормативных правовых актах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субъектов (объектов) контроля и надзора с применением информационной системы с высокой степени риска в среднюю степень риска или со средней степени риска в низкую степень риска в случаях:</w:t>
            </w:r>
          </w:p>
          <w:p>
            <w:pPr>
              <w:spacing w:after="20"/>
              <w:ind w:left="20"/>
              <w:jc w:val="both"/>
            </w:pPr>
            <w:r>
              <w:rPr>
                <w:rFonts w:ascii="Times New Roman"/>
                <w:b w:val="false"/>
                <w:i w:val="false"/>
                <w:color w:val="000000"/>
                <w:sz w:val="20"/>
              </w:rPr>
              <w:t>1) если такие субъекты заключили договоры страхования гражданско-правовой ответственности перед третьими лицами в случаях и порядке, которые установлены законами Республики Казахстан;</w:t>
            </w:r>
          </w:p>
          <w:p>
            <w:pPr>
              <w:spacing w:after="20"/>
              <w:ind w:left="20"/>
              <w:jc w:val="both"/>
            </w:pPr>
            <w:r>
              <w:rPr>
                <w:rFonts w:ascii="Times New Roman"/>
                <w:b w:val="false"/>
                <w:i w:val="false"/>
                <w:color w:val="000000"/>
                <w:sz w:val="20"/>
              </w:rPr>
              <w:t>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 или проведения проверок;</w:t>
            </w:r>
          </w:p>
          <w:p>
            <w:pPr>
              <w:spacing w:after="20"/>
              <w:ind w:left="20"/>
              <w:jc w:val="both"/>
            </w:pPr>
            <w:r>
              <w:rPr>
                <w:rFonts w:ascii="Times New Roman"/>
                <w:b w:val="false"/>
                <w:i w:val="false"/>
                <w:color w:val="000000"/>
                <w:sz w:val="20"/>
              </w:rPr>
              <w:t xml:space="preserve">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подзаконных нормативных правовых актов по вопросам порядка проведения государственного контроля и надзора субъектов 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мер оперативного реагирования в случаях, если в законах Республики Казахстан отсутствует порядок их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назначение внеплановой проверки по исполнению предписания об устранении выявленного нарушения по итогам внеплановой проверки, в случае непредоставления информации об исполнении предписания об устранении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в установленное режиму работы субъекта частного предпринимательства, за исключением внеплановых проверок, которые проводятся во внеурочное время (ночное время, выходные или праздничные дни) в силу необходимости пресечения нарушений непосредственно в момент их совершения.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государственного контроля и надзора в отношении субъектов малого предпринимательства, в том числе микропредпринимательства, в течение трех лет со дня их государственной регистрации (кроме созданных юридических лиц в порядке реорганизации и правопреемников реорганизованных юридических лиц), за исключением внеплановых проверок.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внеплановых проверок по анонимным обращениям.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внеплановых проверок по фактам и обстоятельствам, выявленным в отношении конкретных субъектов (объектов) частного предпринимательства, которые не могли являться основанием для назначения внеплановой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на основании акта органа контроля и надзора о назначении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 назначении профилактического контроля с посещением субъекта (объекта) контроля и надзора и (или) проверки следующей информации:</w:t>
            </w:r>
          </w:p>
          <w:p>
            <w:pPr>
              <w:spacing w:after="20"/>
              <w:ind w:left="20"/>
              <w:jc w:val="both"/>
            </w:pPr>
            <w:r>
              <w:rPr>
                <w:rFonts w:ascii="Times New Roman"/>
                <w:b w:val="false"/>
                <w:i w:val="false"/>
                <w:color w:val="000000"/>
                <w:sz w:val="20"/>
              </w:rPr>
              <w:t>1) номер и дата акта;</w:t>
            </w:r>
          </w:p>
          <w:p>
            <w:pPr>
              <w:spacing w:after="20"/>
              <w:ind w:left="20"/>
              <w:jc w:val="both"/>
            </w:pPr>
            <w:r>
              <w:rPr>
                <w:rFonts w:ascii="Times New Roman"/>
                <w:b w:val="false"/>
                <w:i w:val="false"/>
                <w:color w:val="000000"/>
                <w:sz w:val="20"/>
              </w:rPr>
              <w:t>2) наименование государственного органа;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уполномоченного (уполномоченных) на проведение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сведения о специалистах, консультантах и экспертах, привлекаемых для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наименование субъекта контроля и надзора или фамилия, имя, отчество (если оно указано в документе, удостоверяющем личность) физического лица, в отношении которого назначено проведение профилактического контроля с посещением субъекта (объекта) контроля и надзора и (или) проверки, его место нахождения, идентификационный номер, перечень объектов контроля и надзора, участок территории;</w:t>
            </w:r>
          </w:p>
          <w:p>
            <w:pPr>
              <w:spacing w:after="20"/>
              <w:ind w:left="20"/>
              <w:jc w:val="both"/>
            </w:pPr>
            <w:r>
              <w:rPr>
                <w:rFonts w:ascii="Times New Roman"/>
                <w:b w:val="false"/>
                <w:i w:val="false"/>
                <w:color w:val="000000"/>
                <w:sz w:val="20"/>
              </w:rPr>
              <w:t>6) предмет назначенного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срок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8) основания проведения профилактического контроля с посещением субъекта (объекта) контроля и надзора и (или) проверки, в том числе нормативные правовые акты, обязательные требования которых подлежат профилактическому контролю с посещением субъекта (объекта) контроля и надзора и (или) проверке;</w:t>
            </w:r>
          </w:p>
          <w:p>
            <w:pPr>
              <w:spacing w:after="20"/>
              <w:ind w:left="20"/>
              <w:jc w:val="both"/>
            </w:pPr>
            <w:r>
              <w:rPr>
                <w:rFonts w:ascii="Times New Roman"/>
                <w:b w:val="false"/>
                <w:i w:val="false"/>
                <w:color w:val="000000"/>
                <w:sz w:val="20"/>
              </w:rPr>
              <w:t>9)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10) права и обязанности субъекта контроля и надзора;</w:t>
            </w:r>
          </w:p>
          <w:p>
            <w:pPr>
              <w:spacing w:after="20"/>
              <w:ind w:left="20"/>
              <w:jc w:val="both"/>
            </w:pPr>
            <w:r>
              <w:rPr>
                <w:rFonts w:ascii="Times New Roman"/>
                <w:b w:val="false"/>
                <w:i w:val="false"/>
                <w:color w:val="000000"/>
                <w:sz w:val="20"/>
              </w:rPr>
              <w:t>11) подпись лица, уполномоченного подписывать акты, и печать государственного органа;</w:t>
            </w:r>
          </w:p>
          <w:p>
            <w:pPr>
              <w:spacing w:after="20"/>
              <w:ind w:left="20"/>
              <w:jc w:val="both"/>
            </w:pPr>
            <w:r>
              <w:rPr>
                <w:rFonts w:ascii="Times New Roman"/>
                <w:b w:val="false"/>
                <w:i w:val="false"/>
                <w:color w:val="000000"/>
                <w:sz w:val="20"/>
              </w:rPr>
              <w:t>12) подпись руководителя юридического лица либо его уполномоченного лица, физического лица о получении или отказе в получении акта о назначении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регистрации акта о назначении, дополнительного акта о продлении сроков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в письменном виде субъект контроля и надзора (руководителя юридического лица либо его уполномоченное лицо, физическое лицо) о начале проведения профилактического контроля с посещением субъекта (объекта) контроля и надзора не менее чем за тридцать календарных дней до его начала с указанием 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субъект контроля и надзора о начале проведения внеплановой проверки субъекта (объекта) контроля и надзора не менее чем за сутки до ее начала с указанием предмета проведения проверки субъекта (объекта)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протокола об административном правонарушении в случаях отказа в принятии акта о назначении профилактического контроля с посещением субъекта (объекта) контроля и надзора и (или) проверки, ознакомлении с проверочным листом, а также воспрепятствования доступу должностного лица органа, осуществляющего профилактический контроль с посещением субъекта (объекта) контроля и надзора и (или) проверку, к материалам, необходимым для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уведомления субъекта (объекта) контроля и надзора и уполномоченного органа в области правовой статистики и специальных учетов в случаях замены состава должностных лиц, проводящих профилактический контроль с посещением субъекта (объекта) контроля и надзора и (или) проверку, до начала участия в профилактическом контроле с посещением субъекта (объекта) контроля и надзора и (или) проверке лиц, не указанных в акте о назначении профилактического контроля с посещением субъекта (объекта) контроля и надзора и (или) проверки, с указанием причины замены.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профилактического контроля с посещением субъекта (объекта) контроля и надзора и (или) проверки с учетом объема предстоящих работ, а также поставленных задач:</w:t>
            </w:r>
          </w:p>
          <w:p>
            <w:pPr>
              <w:spacing w:after="20"/>
              <w:ind w:left="20"/>
              <w:jc w:val="both"/>
            </w:pPr>
            <w:r>
              <w:rPr>
                <w:rFonts w:ascii="Times New Roman"/>
                <w:b w:val="false"/>
                <w:i w:val="false"/>
                <w:color w:val="000000"/>
                <w:sz w:val="20"/>
              </w:rPr>
              <w:t>1) для субъектов микропредпринимательства – не более пяти рабочих дней и с продлением до пяти рабочих дней;</w:t>
            </w:r>
          </w:p>
          <w:p>
            <w:pPr>
              <w:spacing w:after="20"/>
              <w:ind w:left="20"/>
              <w:jc w:val="both"/>
            </w:pPr>
            <w:r>
              <w:rPr>
                <w:rFonts w:ascii="Times New Roman"/>
                <w:b w:val="false"/>
                <w:i w:val="false"/>
                <w:color w:val="000000"/>
                <w:sz w:val="20"/>
              </w:rPr>
              <w:t>2) для субъектов малого, среднего и крупного предпринимательства, а также субъектов контроля и надзора, не являющихся субъектами частного предпринимательства:</w:t>
            </w:r>
          </w:p>
          <w:p>
            <w:pPr>
              <w:spacing w:after="20"/>
              <w:ind w:left="20"/>
              <w:jc w:val="both"/>
            </w:pPr>
            <w:r>
              <w:rPr>
                <w:rFonts w:ascii="Times New Roman"/>
                <w:b w:val="false"/>
                <w:i w:val="false"/>
                <w:color w:val="000000"/>
                <w:sz w:val="20"/>
              </w:rPr>
              <w:t>при проведении профилактического контроля с посещением субъекта (объекта) контроля и надзора и (или) проверки на соответствие требованиям – не более пятнадцати рабочих дней и с продлением на срок не более пятнадцати рабочих дней;</w:t>
            </w:r>
          </w:p>
          <w:p>
            <w:pPr>
              <w:spacing w:after="20"/>
              <w:ind w:left="20"/>
              <w:jc w:val="both"/>
            </w:pPr>
            <w:r>
              <w:rPr>
                <w:rFonts w:ascii="Times New Roman"/>
                <w:b w:val="false"/>
                <w:i w:val="false"/>
                <w:color w:val="000000"/>
                <w:sz w:val="20"/>
              </w:rPr>
              <w:t>при проведении внеплановых проверок – не более десяти рабочих дней и с продлением до десяти рабочих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продления профилактического контроля с посещением субъекта (объекта) контроля и надзора и (или) проверки только один раз, руководителем органа контроля и надзора (либо лицом, исполняющим его обязанности) в случаях необходимости:</w:t>
            </w:r>
          </w:p>
          <w:p>
            <w:pPr>
              <w:spacing w:after="20"/>
              <w:ind w:left="20"/>
              <w:jc w:val="both"/>
            </w:pPr>
            <w:r>
              <w:rPr>
                <w:rFonts w:ascii="Times New Roman"/>
                <w:b w:val="false"/>
                <w:i w:val="false"/>
                <w:color w:val="000000"/>
                <w:sz w:val="20"/>
              </w:rPr>
              <w:t>1) получения информации от иностранных государственных органов в рамках международных договоров Республики Казахстан;</w:t>
            </w:r>
          </w:p>
          <w:p>
            <w:pPr>
              <w:spacing w:after="20"/>
              <w:ind w:left="20"/>
              <w:jc w:val="both"/>
            </w:pPr>
            <w:r>
              <w:rPr>
                <w:rFonts w:ascii="Times New Roman"/>
                <w:b w:val="false"/>
                <w:i w:val="false"/>
                <w:color w:val="000000"/>
                <w:sz w:val="20"/>
              </w:rPr>
              <w:t>2) установления местонахождения лица, в отношении которого проводятся профилактический контроль с посещением субъекта (объекта) контроля и надзора и (или) проверка;</w:t>
            </w:r>
          </w:p>
          <w:p>
            <w:pPr>
              <w:spacing w:after="20"/>
              <w:ind w:left="20"/>
              <w:jc w:val="both"/>
            </w:pPr>
            <w:r>
              <w:rPr>
                <w:rFonts w:ascii="Times New Roman"/>
                <w:b w:val="false"/>
                <w:i w:val="false"/>
                <w:color w:val="000000"/>
                <w:sz w:val="20"/>
              </w:rPr>
              <w:t>3) получения результатов лабораторных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дополнительного акта о продлении сроков профилактического контроля с посещением субъекта (объекта) контроля и надзора и (или) проверки с регистрацией в уполномоченном органе по правовой статистике и специальным учетам и указанием номера и даты регистрации предыдущего акта о назначении профилактического контроля с посещением субъекта (объекта) контроля и надзора и (или) проверки и причина продления в случае продления сроков профилактического контроля с посещением субъекта (объекта) контроля и надзора и (или) проверки и причины продления.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субъекта (объекта) контроля и надзора о продлении сроков профилактического контроля с посещением субъекта (объекта) контроля и надзора и (или) проверки за один рабочий день до продления.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отбора образцов продукции должностным лицом органа контроля и надзора в присутствии руководителя или представителя субъекта контроля и надзора и уполномоченного лица субъекта контроля и надзора, удостоверенного актом отбора образцов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в акте отбора образцов продукции:</w:t>
            </w:r>
          </w:p>
          <w:p>
            <w:pPr>
              <w:spacing w:after="20"/>
              <w:ind w:left="20"/>
              <w:jc w:val="both"/>
            </w:pPr>
            <w:r>
              <w:rPr>
                <w:rFonts w:ascii="Times New Roman"/>
                <w:b w:val="false"/>
                <w:i w:val="false"/>
                <w:color w:val="000000"/>
                <w:sz w:val="20"/>
              </w:rPr>
              <w:t>1) место и дата составления;</w:t>
            </w:r>
          </w:p>
          <w:p>
            <w:pPr>
              <w:spacing w:after="20"/>
              <w:ind w:left="20"/>
              <w:jc w:val="both"/>
            </w:pPr>
            <w:r>
              <w:rPr>
                <w:rFonts w:ascii="Times New Roman"/>
                <w:b w:val="false"/>
                <w:i w:val="false"/>
                <w:color w:val="000000"/>
                <w:sz w:val="20"/>
              </w:rPr>
              <w:t>2) номер и дата решения руководителя органа контроля и надзора, на основании которого осуществляется отбор образцов продукции;</w:t>
            </w:r>
          </w:p>
          <w:p>
            <w:pPr>
              <w:spacing w:after="20"/>
              <w:ind w:left="20"/>
              <w:jc w:val="both"/>
            </w:pPr>
            <w:r>
              <w:rPr>
                <w:rFonts w:ascii="Times New Roman"/>
                <w:b w:val="false"/>
                <w:i w:val="false"/>
                <w:color w:val="000000"/>
                <w:sz w:val="20"/>
              </w:rPr>
              <w:t>3) должности, фамилии, имена и отчества (если они указаны в документах, удостоверяющих личность) должностных лиц органа контроля и надзора, осуществляющих отбор образцов продукции;</w:t>
            </w:r>
          </w:p>
          <w:p>
            <w:pPr>
              <w:spacing w:after="20"/>
              <w:ind w:left="20"/>
              <w:jc w:val="both"/>
            </w:pPr>
            <w:r>
              <w:rPr>
                <w:rFonts w:ascii="Times New Roman"/>
                <w:b w:val="false"/>
                <w:i w:val="false"/>
                <w:color w:val="000000"/>
                <w:sz w:val="20"/>
              </w:rPr>
              <w:t>4) наименование и место нахождения субъекта (объекта) контроля и надзора, у которого производится отбор образцов продукции;</w:t>
            </w:r>
          </w:p>
          <w:p>
            <w:pPr>
              <w:spacing w:after="20"/>
              <w:ind w:left="20"/>
              <w:jc w:val="both"/>
            </w:pPr>
            <w:r>
              <w:rPr>
                <w:rFonts w:ascii="Times New Roman"/>
                <w:b w:val="false"/>
                <w:i w:val="false"/>
                <w:color w:val="000000"/>
                <w:sz w:val="20"/>
              </w:rPr>
              <w:t>5) должность и фамилия, имя, отчество (если оно указано в документе, удостоверяющем личность) руководителя или представителя субъекта контроля и надзора и уполномоченного лица субъекта контроля и надзора;</w:t>
            </w:r>
          </w:p>
          <w:p>
            <w:pPr>
              <w:spacing w:after="20"/>
              <w:ind w:left="20"/>
              <w:jc w:val="both"/>
            </w:pPr>
            <w:r>
              <w:rPr>
                <w:rFonts w:ascii="Times New Roman"/>
                <w:b w:val="false"/>
                <w:i w:val="false"/>
                <w:color w:val="000000"/>
                <w:sz w:val="20"/>
              </w:rPr>
              <w:t>6) перечень и количество отобранных образцов продукции с указанием производителя, даты производства, серии (номера) партии, общей стоимости образцов;</w:t>
            </w:r>
          </w:p>
          <w:p>
            <w:pPr>
              <w:spacing w:after="20"/>
              <w:ind w:left="20"/>
              <w:jc w:val="both"/>
            </w:pPr>
            <w:r>
              <w:rPr>
                <w:rFonts w:ascii="Times New Roman"/>
                <w:b w:val="false"/>
                <w:i w:val="false"/>
                <w:color w:val="000000"/>
                <w:sz w:val="20"/>
              </w:rPr>
              <w:t>7) вид упаковки и номер печати (пломбы).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ограничений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проверять выполнение требований, не установленных в проверочных листах данного органа контроля и надзора, а также если такие требования не относятся к компетенции государственного органа, от имени которого действуют данные должностные лица;</w:t>
            </w:r>
          </w:p>
          <w:p>
            <w:pPr>
              <w:spacing w:after="20"/>
              <w:ind w:left="20"/>
              <w:jc w:val="both"/>
            </w:pPr>
            <w:r>
              <w:rPr>
                <w:rFonts w:ascii="Times New Roman"/>
                <w:b w:val="false"/>
                <w:i w:val="false"/>
                <w:color w:val="000000"/>
                <w:sz w:val="20"/>
              </w:rPr>
              <w:t>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профилактического контроля с посещением субъекта (объекта) контроля и надзора и (или) проверки или не относятся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p>
            <w:pPr>
              <w:spacing w:after="20"/>
              <w:ind w:left="20"/>
              <w:jc w:val="both"/>
            </w:pPr>
            <w:r>
              <w:rPr>
                <w:rFonts w:ascii="Times New Roman"/>
                <w:b w:val="false"/>
                <w:i w:val="false"/>
                <w:color w:val="000000"/>
                <w:sz w:val="20"/>
              </w:rPr>
              <w:t>4) разглашать и (или) распространять информацию, полученную в результате проведения профилактического контроля с посещением субъекта (объекта) контроля и надзора и (или)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p>
            <w:pPr>
              <w:spacing w:after="20"/>
              <w:ind w:left="20"/>
              <w:jc w:val="both"/>
            </w:pPr>
            <w:r>
              <w:rPr>
                <w:rFonts w:ascii="Times New Roman"/>
                <w:b w:val="false"/>
                <w:i w:val="false"/>
                <w:color w:val="000000"/>
                <w:sz w:val="20"/>
              </w:rPr>
              <w:t>5) превышать установленные сроки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проводить профилактический контроль с посещением субъекта (объекта) контроля и надзора и (или) проверку субъекта (объекта) контроля и надзора, в отношении которого ранее проводились профилактический контроль с посещением субъекта (объекта) контроля и надзора и (или) проверки его вышестоящим (нижестоящим) органом либо иным государственным органом по одному и тому же вопросу за один и тот же период;</w:t>
            </w:r>
          </w:p>
          <w:p>
            <w:pPr>
              <w:spacing w:after="20"/>
              <w:ind w:left="20"/>
              <w:jc w:val="both"/>
            </w:pPr>
            <w:r>
              <w:rPr>
                <w:rFonts w:ascii="Times New Roman"/>
                <w:b w:val="false"/>
                <w:i w:val="false"/>
                <w:color w:val="000000"/>
                <w:sz w:val="20"/>
              </w:rPr>
              <w:t>7) проводить мероприятия, носящие затратный характер, в целях проведения профилактического контроля с посещением субъекта (объекта) контроля и надзора и (или) проверки за счет субъектов контроля и 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акта о результатах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акта;</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дата и номер акта о назначении профилактического контроля с посещением субъекта (объекта) контроля и надзора и (или) проверки (дополнительного акта о продлении срока при его наличии), на основании которого проведены профилактический контроль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5)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сведения о результатах профилактического контроля с посещением субъекта (объекта) контроля и надзора и (или) проверки, в том числе о выявленных нарушениях, их характере;</w:t>
            </w:r>
          </w:p>
          <w:p>
            <w:pPr>
              <w:spacing w:after="20"/>
              <w:ind w:left="20"/>
              <w:jc w:val="both"/>
            </w:pPr>
            <w:r>
              <w:rPr>
                <w:rFonts w:ascii="Times New Roman"/>
                <w:b w:val="false"/>
                <w:i w:val="false"/>
                <w:color w:val="000000"/>
                <w:sz w:val="20"/>
              </w:rPr>
              <w:t>8) наименование проверочного листа и пункты требований, по которым выявлены нарушения;</w:t>
            </w:r>
          </w:p>
          <w:p>
            <w:pPr>
              <w:spacing w:after="20"/>
              <w:ind w:left="20"/>
              <w:jc w:val="both"/>
            </w:pPr>
            <w:r>
              <w:rPr>
                <w:rFonts w:ascii="Times New Roman"/>
                <w:b w:val="false"/>
                <w:i w:val="false"/>
                <w:color w:val="000000"/>
                <w:sz w:val="20"/>
              </w:rPr>
              <w:t>9) сведения об ознакомлении или отказе в ознакомлении с актом о результатах профилактического контроля с посещением субъекта (объекта) контроля и надзора и (или) проверки представителей субъекта контроля и надзора, а также лиц, присутствовавших при проведении профилактического контроля с посещением субъекта (объекта) контроля и надзора и (или) проверки, их подписи или отказ от подписи;</w:t>
            </w:r>
          </w:p>
          <w:p>
            <w:pPr>
              <w:spacing w:after="20"/>
              <w:ind w:left="20"/>
              <w:jc w:val="both"/>
            </w:pPr>
            <w:r>
              <w:rPr>
                <w:rFonts w:ascii="Times New Roman"/>
                <w:b w:val="false"/>
                <w:i w:val="false"/>
                <w:color w:val="000000"/>
                <w:sz w:val="20"/>
              </w:rPr>
              <w:t>10)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 с указанием в нем следующей информации:</w:t>
            </w:r>
          </w:p>
          <w:p>
            <w:pPr>
              <w:spacing w:after="20"/>
              <w:ind w:left="20"/>
              <w:jc w:val="both"/>
            </w:pPr>
            <w:r>
              <w:rPr>
                <w:rFonts w:ascii="Times New Roman"/>
                <w:b w:val="false"/>
                <w:i w:val="false"/>
                <w:color w:val="000000"/>
                <w:sz w:val="20"/>
              </w:rPr>
              <w:t>1) дата, время и место составления предписания;</w:t>
            </w:r>
          </w:p>
          <w:p>
            <w:pPr>
              <w:spacing w:after="20"/>
              <w:ind w:left="20"/>
              <w:jc w:val="both"/>
            </w:pPr>
            <w:r>
              <w:rPr>
                <w:rFonts w:ascii="Times New Roman"/>
                <w:b w:val="false"/>
                <w:i w:val="false"/>
                <w:color w:val="000000"/>
                <w:sz w:val="20"/>
              </w:rPr>
              <w:t>2) наименование органа контроля и надзора;</w:t>
            </w:r>
          </w:p>
          <w:p>
            <w:pPr>
              <w:spacing w:after="20"/>
              <w:ind w:left="20"/>
              <w:jc w:val="both"/>
            </w:pPr>
            <w:r>
              <w:rPr>
                <w:rFonts w:ascii="Times New Roman"/>
                <w:b w:val="false"/>
                <w:i w:val="false"/>
                <w:color w:val="000000"/>
                <w:sz w:val="20"/>
              </w:rPr>
              <w:t>3) фамилия, имя, отчество (если оно указано в документе, удостоверяющем личность) и должность лица (лиц), проводившего (проводивших) профилактический контроль с посещением субъекта (объекта) контроля и надзора и (или) проверку;</w:t>
            </w:r>
          </w:p>
          <w:p>
            <w:pPr>
              <w:spacing w:after="20"/>
              <w:ind w:left="20"/>
              <w:jc w:val="both"/>
            </w:pPr>
            <w:r>
              <w:rPr>
                <w:rFonts w:ascii="Times New Roman"/>
                <w:b w:val="false"/>
                <w:i w:val="false"/>
                <w:color w:val="000000"/>
                <w:sz w:val="20"/>
              </w:rPr>
              <w:t>4) наименование или фамилия, имя, отчество (если оно указано в документе, удостоверяющем личность) субъекта контроля и надзора, должность представителя физического или юридического лица, присутствовавшего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5) дата, место и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p>
            <w:pPr>
              <w:spacing w:after="20"/>
              <w:ind w:left="20"/>
              <w:jc w:val="both"/>
            </w:pPr>
            <w:r>
              <w:rPr>
                <w:rFonts w:ascii="Times New Roman"/>
                <w:b w:val="false"/>
                <w:i w:val="false"/>
                <w:color w:val="000000"/>
                <w:sz w:val="20"/>
              </w:rPr>
              <w:t>7) указания по устранению выявленных нарушений с указанием сроков их устранения;</w:t>
            </w:r>
          </w:p>
          <w:p>
            <w:pPr>
              <w:spacing w:after="20"/>
              <w:ind w:left="20"/>
              <w:jc w:val="both"/>
            </w:pPr>
            <w:r>
              <w:rPr>
                <w:rFonts w:ascii="Times New Roman"/>
                <w:b w:val="false"/>
                <w:i w:val="false"/>
                <w:color w:val="000000"/>
                <w:sz w:val="20"/>
              </w:rPr>
              <w:t>8) сведения об ознакомлении или отказе в ознакомлении с предписанием представителя субъекта контроля и надзора (руководителя юридического лица либо его уполномоченного лица, физического лица), а также лиц, присутствовавших при профилактическом контроле с посещением субъекта (объекта) контроля и надзора и (или) проверке, их подписи или отказ от подписи;</w:t>
            </w:r>
          </w:p>
          <w:p>
            <w:pPr>
              <w:spacing w:after="20"/>
              <w:ind w:left="20"/>
              <w:jc w:val="both"/>
            </w:pPr>
            <w:r>
              <w:rPr>
                <w:rFonts w:ascii="Times New Roman"/>
                <w:b w:val="false"/>
                <w:i w:val="false"/>
                <w:color w:val="000000"/>
                <w:sz w:val="20"/>
              </w:rPr>
              <w:t>9) подпись должностного лица (лиц), проводившего (проводивших) профилактический контроль с посещением субъекта (объекта) контроля и надзора и (или) проверку.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предъявление требований и обращение с просьбами, не относящимися к предмету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Неназначение органами контроля и надзора профилактического контроля с посещением субъекта (объекта) контроля и надзора и (или) проверки по вопросам, не входящим в их компетенцию.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периодичности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субъекту контроля и надзора акт о результатах профилактического контроля с посещением субъекта (объекта) контроля и надзора и (или) проверки, в случаях выявления нарушений – предписание об устранении выявленных нарушений по результатам, проведенных профилактического контроля с посещением субъекта (объекта) контроля и надзора и (или) проверки в день их окончания.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должностными лицами органа контроля и надзора следующих обязанностей при проведении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1) соблюдать законодательство Республики Казахстан, права и законные интересы субъектов контроля и надзора;</w:t>
            </w:r>
          </w:p>
          <w:p>
            <w:pPr>
              <w:spacing w:after="20"/>
              <w:ind w:left="20"/>
              <w:jc w:val="both"/>
            </w:pPr>
            <w:r>
              <w:rPr>
                <w:rFonts w:ascii="Times New Roman"/>
                <w:b w:val="false"/>
                <w:i w:val="false"/>
                <w:color w:val="000000"/>
                <w:sz w:val="20"/>
              </w:rPr>
              <w:t xml:space="preserve">2) проводить профилактический контроль с посещением субъекта (объекта) контроля и надзора и (или) проверку на основании и в строгом соответствии с порядком, установленным </w:t>
            </w:r>
            <w:r>
              <w:rPr>
                <w:rFonts w:ascii="Times New Roman"/>
                <w:b w:val="false"/>
                <w:i w:val="false"/>
                <w:color w:val="000000"/>
                <w:sz w:val="20"/>
              </w:rPr>
              <w:t>Предпринимательским</w:t>
            </w:r>
            <w:r>
              <w:rPr>
                <w:rFonts w:ascii="Times New Roman"/>
                <w:b w:val="false"/>
                <w:i w:val="false"/>
                <w:color w:val="000000"/>
                <w:sz w:val="20"/>
              </w:rPr>
              <w:t xml:space="preserve"> Кодексом Республики Казахстан и (или) иными законами Республики Казахстан;</w:t>
            </w:r>
          </w:p>
          <w:p>
            <w:pPr>
              <w:spacing w:after="20"/>
              <w:ind w:left="20"/>
              <w:jc w:val="both"/>
            </w:pPr>
            <w:r>
              <w:rPr>
                <w:rFonts w:ascii="Times New Roman"/>
                <w:b w:val="false"/>
                <w:i w:val="false"/>
                <w:color w:val="000000"/>
                <w:sz w:val="20"/>
              </w:rPr>
              <w:t>3) не препятствовать установленному режиму работы субъектов (объектов) контроля и надзора в период проведения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5) не препятствовать субъекту контроля и надзора либо его уполномоченному представителю присутствовать при проведении профилактического контроля с посещением субъекта (объекта) контроля и надзора и (или) проверки, давать разъяснения по вопросам, относящимся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6) предоставлять субъекту контроля и надзора необходимую информацию, относящуюся к предмету профилактического контроля с посещением субъекта (объекта) контроля и надзора и (или) проверки;</w:t>
            </w:r>
          </w:p>
          <w:p>
            <w:pPr>
              <w:spacing w:after="20"/>
              <w:ind w:left="20"/>
              <w:jc w:val="both"/>
            </w:pPr>
            <w:r>
              <w:rPr>
                <w:rFonts w:ascii="Times New Roman"/>
                <w:b w:val="false"/>
                <w:i w:val="false"/>
                <w:color w:val="000000"/>
                <w:sz w:val="20"/>
              </w:rPr>
              <w:t>7) обеспечить сохранность документов и сведений, полученных в результате проведения профилактического контроля с посещением субъекта (объекта) контроля и надзора и (или)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профилактического контроля с посещением субъекта (объекта) контроля и надзора и (или) проверки субъектов малого предпринимательства, в том числе субъектов микропредпринимательства.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органом контроля и надзора ежегодного Единого дня отчета в порядке, определяемом уполномоченным органом по предпринимательству.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 w:id="30"/>
      <w:r>
        <w:rPr>
          <w:rFonts w:ascii="Times New Roman"/>
          <w:b w:val="false"/>
          <w:i w:val="false"/>
          <w:color w:val="000000"/>
          <w:sz w:val="28"/>
        </w:rPr>
        <w:t>
      Должностное (ые) лицо (а) _________________________________________</w:t>
      </w:r>
    </w:p>
    <w:bookmarkEnd w:id="30"/>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___________________________</w:t>
      </w:r>
    </w:p>
    <w:p>
      <w:pPr>
        <w:spacing w:after="0"/>
        <w:ind w:left="0"/>
        <w:jc w:val="both"/>
      </w:pPr>
      <w:r>
        <w:rPr>
          <w:rFonts w:ascii="Times New Roman"/>
          <w:b w:val="false"/>
          <w:i w:val="false"/>
          <w:color w:val="000000"/>
          <w:sz w:val="28"/>
        </w:rPr>
        <w:t>(должность) (подпись)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