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52a7" w14:textId="35e5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и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19 февраля 2024 года № 3. Зарегистрирован в Министерстве юстиции Республики Казахстан 20 февраля 2024 года № 34014.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"18. Проведение необходимых экспертиз инвестиционного предложения ГИП представляет собой рассмотрение документов, указанных в пункте 6 настоящих Правил и подготовку экономического заключения центральным или местным уполномоченным органом по государственному планированию на инвестиционные предложения АБП.</w:t>
      </w:r>
    </w:p>
    <w:bookmarkEnd w:id="4"/>
    <w:bookmarkStart w:name="z9" w:id="5"/>
    <w:p>
      <w:pPr>
        <w:spacing w:after="0"/>
        <w:ind w:left="0"/>
        <w:jc w:val="both"/>
      </w:pP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в срок не более 20 (двадцати) рабочих дней и направляет экономическое заключение по ним АБП.";</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26-5</w:t>
      </w:r>
      <w:r>
        <w:rPr>
          <w:rFonts w:ascii="Times New Roman"/>
          <w:b w:val="false"/>
          <w:i w:val="false"/>
          <w:color w:val="000000"/>
          <w:sz w:val="28"/>
        </w:rPr>
        <w:t xml:space="preserve"> изложить в следующей редакции: </w:t>
      </w:r>
    </w:p>
    <w:bookmarkEnd w:id="6"/>
    <w:bookmarkStart w:name="z11" w:id="7"/>
    <w:p>
      <w:pPr>
        <w:spacing w:after="0"/>
        <w:ind w:left="0"/>
        <w:jc w:val="both"/>
      </w:pPr>
      <w:r>
        <w:rPr>
          <w:rFonts w:ascii="Times New Roman"/>
          <w:b w:val="false"/>
          <w:i w:val="false"/>
          <w:color w:val="000000"/>
          <w:sz w:val="28"/>
        </w:rPr>
        <w:t>
      "26-5. К заявке на финансирование разработки или корректировки, а также проведения необходимых экспертиз ТЭО БИП прилагается расчет, подтверждающий заявленную стоимость разработки или корректировки ТЭО БИП (согласно приказу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"Об утверждении нормативных документов по ценообразованию в строительстве" и коммерческим предложениям потенциальных поставщиков).";</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50</w:t>
      </w:r>
      <w:r>
        <w:rPr>
          <w:rFonts w:ascii="Times New Roman"/>
          <w:b w:val="false"/>
          <w:i w:val="false"/>
          <w:color w:val="000000"/>
          <w:sz w:val="28"/>
        </w:rPr>
        <w:t xml:space="preserve"> исключить.</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Заместителя Премьер-Министра - Министра национальной экономики РК от 16.06.2025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9"/>
    <w:bookmarkStart w:name="z100"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10"/>
    <w:bookmarkStart w:name="z101"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103"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4"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2024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w:t>
            </w:r>
            <w:r>
              <w:br/>
            </w:r>
            <w:r>
              <w:rPr>
                <w:rFonts w:ascii="Times New Roman"/>
                <w:b w:val="false"/>
                <w:i w:val="false"/>
                <w:color w:val="000000"/>
                <w:sz w:val="20"/>
              </w:rPr>
              <w:t>конкурса (аукциона) и прямых</w:t>
            </w:r>
            <w:r>
              <w:br/>
            </w:r>
            <w:r>
              <w:rPr>
                <w:rFonts w:ascii="Times New Roman"/>
                <w:b w:val="false"/>
                <w:i w:val="false"/>
                <w:color w:val="000000"/>
                <w:sz w:val="20"/>
              </w:rPr>
              <w:t>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w:t>
            </w:r>
            <w:r>
              <w:br/>
            </w:r>
            <w:r>
              <w:rPr>
                <w:rFonts w:ascii="Times New Roman"/>
                <w:b w:val="false"/>
                <w:i w:val="false"/>
                <w:color w:val="000000"/>
                <w:sz w:val="20"/>
              </w:rPr>
              <w:t>государственно- частного</w:t>
            </w:r>
            <w:r>
              <w:br/>
            </w:r>
            <w:r>
              <w:rPr>
                <w:rFonts w:ascii="Times New Roman"/>
                <w:b w:val="false"/>
                <w:i w:val="false"/>
                <w:color w:val="000000"/>
                <w:sz w:val="20"/>
              </w:rPr>
              <w:t>партнерства, проведения</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bl>
    <w:bookmarkStart w:name="z107" w:id="14"/>
    <w:p>
      <w:pPr>
        <w:spacing w:after="0"/>
        <w:ind w:left="0"/>
        <w:jc w:val="left"/>
      </w:pPr>
      <w:r>
        <w:rPr>
          <w:rFonts w:ascii="Times New Roman"/>
          <w:b/>
          <w:i w:val="false"/>
          <w:color w:val="000000"/>
        </w:rPr>
        <w:t xml:space="preserve"> Расчет формирования рейтинга качества управления проектами государственно-частного партнерства</w:t>
      </w:r>
    </w:p>
    <w:bookmarkEnd w:id="14"/>
    <w:bookmarkStart w:name="z108" w:id="15"/>
    <w:p>
      <w:pPr>
        <w:spacing w:after="0"/>
        <w:ind w:left="0"/>
        <w:jc w:val="both"/>
      </w:pPr>
      <w:r>
        <w:rPr>
          <w:rFonts w:ascii="Times New Roman"/>
          <w:b w:val="false"/>
          <w:i w:val="false"/>
          <w:color w:val="000000"/>
          <w:sz w:val="28"/>
        </w:rPr>
        <w:t>
      1. Расчет показателя качества управления проектами государственно-частного партнерства (далее – ГЧП) в регионах определяется по формуле:</w:t>
      </w:r>
    </w:p>
    <w:bookmarkEnd w:id="15"/>
    <w:bookmarkStart w:name="z109"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179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7"/>
    <w:p>
      <w:pPr>
        <w:spacing w:after="0"/>
        <w:ind w:left="0"/>
        <w:jc w:val="both"/>
      </w:pPr>
      <w:r>
        <w:rPr>
          <w:rFonts w:ascii="Times New Roman"/>
          <w:b w:val="false"/>
          <w:i w:val="false"/>
          <w:color w:val="000000"/>
          <w:sz w:val="28"/>
        </w:rPr>
        <w:t>
      Ri – показатель уровня развития ГЧП для i-го региона, (в баллах);</w:t>
      </w:r>
    </w:p>
    <w:bookmarkEnd w:id="17"/>
    <w:bookmarkStart w:name="z111" w:id="18"/>
    <w:p>
      <w:pPr>
        <w:spacing w:after="0"/>
        <w:ind w:left="0"/>
        <w:jc w:val="both"/>
      </w:pPr>
      <w:r>
        <w:rPr>
          <w:rFonts w:ascii="Times New Roman"/>
          <w:b w:val="false"/>
          <w:i w:val="false"/>
          <w:color w:val="000000"/>
          <w:sz w:val="28"/>
        </w:rPr>
        <w:t>
      PIi – баллы за индекс окупаемости привлеченных инвестиций частного партнера за счет государственных обязательств, i-го региона;</w:t>
      </w:r>
    </w:p>
    <w:bookmarkEnd w:id="18"/>
    <w:bookmarkStart w:name="z112" w:id="19"/>
    <w:p>
      <w:pPr>
        <w:spacing w:after="0"/>
        <w:ind w:left="0"/>
        <w:jc w:val="both"/>
      </w:pPr>
      <w:r>
        <w:rPr>
          <w:rFonts w:ascii="Times New Roman"/>
          <w:b w:val="false"/>
          <w:i w:val="false"/>
          <w:color w:val="000000"/>
          <w:sz w:val="28"/>
        </w:rPr>
        <w:t xml:space="preserve">
      Mi. - баллы за своевременность предоставления мониторинга i-го региона; </w:t>
      </w:r>
    </w:p>
    <w:bookmarkEnd w:id="19"/>
    <w:bookmarkStart w:name="z113" w:id="20"/>
    <w:p>
      <w:pPr>
        <w:spacing w:after="0"/>
        <w:ind w:left="0"/>
        <w:jc w:val="both"/>
      </w:pPr>
      <w:r>
        <w:rPr>
          <w:rFonts w:ascii="Times New Roman"/>
          <w:b w:val="false"/>
          <w:i w:val="false"/>
          <w:color w:val="000000"/>
          <w:sz w:val="28"/>
        </w:rPr>
        <w:t>
      Di - баллы за предоставление пакета Документов по проектам i-го региона;</w:t>
      </w:r>
    </w:p>
    <w:bookmarkEnd w:id="20"/>
    <w:bookmarkStart w:name="z114" w:id="21"/>
    <w:p>
      <w:pPr>
        <w:spacing w:after="0"/>
        <w:ind w:left="0"/>
        <w:jc w:val="both"/>
      </w:pPr>
      <w:r>
        <w:rPr>
          <w:rFonts w:ascii="Times New Roman"/>
          <w:b w:val="false"/>
          <w:i w:val="false"/>
          <w:color w:val="000000"/>
          <w:sz w:val="28"/>
        </w:rPr>
        <w:t>
      ni – общее количество проектов i-го региона.</w:t>
      </w:r>
    </w:p>
    <w:bookmarkEnd w:id="21"/>
    <w:bookmarkStart w:name="z115" w:id="22"/>
    <w:p>
      <w:pPr>
        <w:spacing w:after="0"/>
        <w:ind w:left="0"/>
        <w:jc w:val="both"/>
      </w:pPr>
      <w:r>
        <w:rPr>
          <w:rFonts w:ascii="Times New Roman"/>
          <w:b w:val="false"/>
          <w:i w:val="false"/>
          <w:color w:val="000000"/>
          <w:sz w:val="28"/>
        </w:rPr>
        <w:t>
      1) Баллы за Индекс окупаемости привлеченных инвестиций частного партнера за счет государственных обязательств, определяются по формуле:</w:t>
      </w:r>
    </w:p>
    <w:bookmarkEnd w:id="22"/>
    <w:bookmarkStart w:name="z116"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2540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24"/>
    <w:p>
      <w:pPr>
        <w:spacing w:after="0"/>
        <w:ind w:left="0"/>
        <w:jc w:val="both"/>
      </w:pPr>
      <w:r>
        <w:rPr>
          <w:rFonts w:ascii="Times New Roman"/>
          <w:b w:val="false"/>
          <w:i w:val="false"/>
          <w:color w:val="000000"/>
          <w:sz w:val="28"/>
        </w:rPr>
        <w:t>
      I – сумма инвестиций частного партнера по проекту;</w:t>
      </w:r>
    </w:p>
    <w:bookmarkEnd w:id="24"/>
    <w:bookmarkStart w:name="z118" w:id="25"/>
    <w:p>
      <w:pPr>
        <w:spacing w:after="0"/>
        <w:ind w:left="0"/>
        <w:jc w:val="both"/>
      </w:pPr>
      <w:r>
        <w:rPr>
          <w:rFonts w:ascii="Times New Roman"/>
          <w:b w:val="false"/>
          <w:i w:val="false"/>
          <w:color w:val="000000"/>
          <w:sz w:val="28"/>
        </w:rPr>
        <w:t>
      GO – сумма государственных обязательств по проекту;</w:t>
      </w:r>
    </w:p>
    <w:bookmarkEnd w:id="25"/>
    <w:bookmarkStart w:name="z119" w:id="26"/>
    <w:p>
      <w:pPr>
        <w:spacing w:after="0"/>
        <w:ind w:left="0"/>
        <w:jc w:val="both"/>
      </w:pPr>
      <w:r>
        <w:rPr>
          <w:rFonts w:ascii="Times New Roman"/>
          <w:b w:val="false"/>
          <w:i w:val="false"/>
          <w:color w:val="000000"/>
          <w:sz w:val="28"/>
        </w:rPr>
        <w:t>
      BpI – базовый балл за Индекс окупаемости Инвестиции;</w:t>
      </w:r>
    </w:p>
    <w:bookmarkEnd w:id="26"/>
    <w:bookmarkStart w:name="z120" w:id="27"/>
    <w:p>
      <w:pPr>
        <w:spacing w:after="0"/>
        <w:ind w:left="0"/>
        <w:jc w:val="both"/>
      </w:pPr>
      <w:r>
        <w:rPr>
          <w:rFonts w:ascii="Times New Roman"/>
          <w:b w:val="false"/>
          <w:i w:val="false"/>
          <w:color w:val="000000"/>
          <w:sz w:val="28"/>
        </w:rPr>
        <w:t>
      n – количество проектов ГЧП.</w:t>
      </w:r>
    </w:p>
    <w:bookmarkEnd w:id="27"/>
    <w:bookmarkStart w:name="z121" w:id="28"/>
    <w:p>
      <w:pPr>
        <w:spacing w:after="0"/>
        <w:ind w:left="0"/>
        <w:jc w:val="both"/>
      </w:pPr>
      <w:r>
        <w:rPr>
          <w:rFonts w:ascii="Times New Roman"/>
          <w:b w:val="false"/>
          <w:i w:val="false"/>
          <w:color w:val="000000"/>
          <w:sz w:val="28"/>
        </w:rPr>
        <w:t>
      2) Баллы за своевременность предоставления мониторингов i-го региона определяются по формуле:</w:t>
      </w:r>
    </w:p>
    <w:bookmarkEnd w:id="28"/>
    <w:bookmarkStart w:name="z122"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5168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68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30"/>
    <w:p>
      <w:pPr>
        <w:spacing w:after="0"/>
        <w:ind w:left="0"/>
        <w:jc w:val="both"/>
      </w:pPr>
      <w:r>
        <w:rPr>
          <w:rFonts w:ascii="Times New Roman"/>
          <w:b w:val="false"/>
          <w:i w:val="false"/>
          <w:color w:val="000000"/>
          <w:sz w:val="28"/>
        </w:rPr>
        <w:t>
      M₁ – количество мониторингов, предоставленных в установленный срок, согласно Правилам (до 20 февраля следующего за отчетным годом);</w:t>
      </w:r>
    </w:p>
    <w:bookmarkEnd w:id="30"/>
    <w:bookmarkStart w:name="z124" w:id="31"/>
    <w:p>
      <w:pPr>
        <w:spacing w:after="0"/>
        <w:ind w:left="0"/>
        <w:jc w:val="both"/>
      </w:pPr>
      <w:r>
        <w:rPr>
          <w:rFonts w:ascii="Times New Roman"/>
          <w:b w:val="false"/>
          <w:i w:val="false"/>
          <w:color w:val="000000"/>
          <w:sz w:val="28"/>
        </w:rPr>
        <w:t>
      Bpm₁ – базовый бал за M₁;</w:t>
      </w:r>
    </w:p>
    <w:bookmarkEnd w:id="31"/>
    <w:bookmarkStart w:name="z125" w:id="32"/>
    <w:p>
      <w:pPr>
        <w:spacing w:after="0"/>
        <w:ind w:left="0"/>
        <w:jc w:val="both"/>
      </w:pPr>
      <w:r>
        <w:rPr>
          <w:rFonts w:ascii="Times New Roman"/>
          <w:b w:val="false"/>
          <w:i w:val="false"/>
          <w:color w:val="000000"/>
          <w:sz w:val="28"/>
        </w:rPr>
        <w:t>
      M₂ – количество мониторингов, предоставленных после установленного срока (после 20 февраля следующего за отчетным годом);</w:t>
      </w:r>
    </w:p>
    <w:bookmarkEnd w:id="32"/>
    <w:bookmarkStart w:name="z126" w:id="33"/>
    <w:p>
      <w:pPr>
        <w:spacing w:after="0"/>
        <w:ind w:left="0"/>
        <w:jc w:val="both"/>
      </w:pPr>
      <w:r>
        <w:rPr>
          <w:rFonts w:ascii="Times New Roman"/>
          <w:b w:val="false"/>
          <w:i w:val="false"/>
          <w:color w:val="000000"/>
          <w:sz w:val="28"/>
        </w:rPr>
        <w:t>
      Bpm₂ – базовый бал за M₂;</w:t>
      </w:r>
    </w:p>
    <w:bookmarkEnd w:id="33"/>
    <w:bookmarkStart w:name="z127" w:id="34"/>
    <w:p>
      <w:pPr>
        <w:spacing w:after="0"/>
        <w:ind w:left="0"/>
        <w:jc w:val="both"/>
      </w:pPr>
      <w:r>
        <w:rPr>
          <w:rFonts w:ascii="Times New Roman"/>
          <w:b w:val="false"/>
          <w:i w:val="false"/>
          <w:color w:val="000000"/>
          <w:sz w:val="28"/>
        </w:rPr>
        <w:t>
      M₃ –не предоставленное количество мониторингов;</w:t>
      </w:r>
    </w:p>
    <w:bookmarkEnd w:id="34"/>
    <w:bookmarkStart w:name="z128" w:id="35"/>
    <w:p>
      <w:pPr>
        <w:spacing w:after="0"/>
        <w:ind w:left="0"/>
        <w:jc w:val="both"/>
      </w:pPr>
      <w:r>
        <w:rPr>
          <w:rFonts w:ascii="Times New Roman"/>
          <w:b w:val="false"/>
          <w:i w:val="false"/>
          <w:color w:val="000000"/>
          <w:sz w:val="28"/>
        </w:rPr>
        <w:t>
      Bpm₃ – базовый бал за M₃;</w:t>
      </w:r>
    </w:p>
    <w:bookmarkEnd w:id="35"/>
    <w:bookmarkStart w:name="z129" w:id="36"/>
    <w:p>
      <w:pPr>
        <w:spacing w:after="0"/>
        <w:ind w:left="0"/>
        <w:jc w:val="both"/>
      </w:pPr>
      <w:r>
        <w:rPr>
          <w:rFonts w:ascii="Times New Roman"/>
          <w:b w:val="false"/>
          <w:i w:val="false"/>
          <w:color w:val="000000"/>
          <w:sz w:val="28"/>
        </w:rPr>
        <w:t>
      n – количество проектов ГЧП.</w:t>
      </w:r>
    </w:p>
    <w:bookmarkEnd w:id="36"/>
    <w:bookmarkStart w:name="z130" w:id="37"/>
    <w:p>
      <w:pPr>
        <w:spacing w:after="0"/>
        <w:ind w:left="0"/>
        <w:jc w:val="both"/>
      </w:pPr>
      <w:r>
        <w:rPr>
          <w:rFonts w:ascii="Times New Roman"/>
          <w:b w:val="false"/>
          <w:i w:val="false"/>
          <w:color w:val="000000"/>
          <w:sz w:val="28"/>
        </w:rPr>
        <w:t>
      3) Баллы за предоставленный пакет Документов по проектам i-го региона определяются по формуле:</w:t>
      </w:r>
    </w:p>
    <w:bookmarkEnd w:id="37"/>
    <w:bookmarkStart w:name="z131"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5003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03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39"/>
    <w:p>
      <w:pPr>
        <w:spacing w:after="0"/>
        <w:ind w:left="0"/>
        <w:jc w:val="both"/>
      </w:pPr>
      <w:r>
        <w:rPr>
          <w:rFonts w:ascii="Times New Roman"/>
          <w:b w:val="false"/>
          <w:i w:val="false"/>
          <w:color w:val="000000"/>
          <w:sz w:val="28"/>
        </w:rPr>
        <w:t>
      D1 – предоставленное количество полного пакета запрашиваемых документов по проектам;</w:t>
      </w:r>
    </w:p>
    <w:bookmarkEnd w:id="39"/>
    <w:bookmarkStart w:name="z133" w:id="40"/>
    <w:p>
      <w:pPr>
        <w:spacing w:after="0"/>
        <w:ind w:left="0"/>
        <w:jc w:val="both"/>
      </w:pPr>
      <w:r>
        <w:rPr>
          <w:rFonts w:ascii="Times New Roman"/>
          <w:b w:val="false"/>
          <w:i w:val="false"/>
          <w:color w:val="000000"/>
          <w:sz w:val="28"/>
        </w:rPr>
        <w:t>
      Bpd1 – базовый бал за D1;</w:t>
      </w:r>
    </w:p>
    <w:bookmarkEnd w:id="40"/>
    <w:bookmarkStart w:name="z134" w:id="41"/>
    <w:p>
      <w:pPr>
        <w:spacing w:after="0"/>
        <w:ind w:left="0"/>
        <w:jc w:val="both"/>
      </w:pPr>
      <w:r>
        <w:rPr>
          <w:rFonts w:ascii="Times New Roman"/>
          <w:b w:val="false"/>
          <w:i w:val="false"/>
          <w:color w:val="000000"/>
          <w:sz w:val="28"/>
        </w:rPr>
        <w:t>
      D2 – предоставленное количество неполного пакета запрашиваемых документов по проектам;</w:t>
      </w:r>
    </w:p>
    <w:bookmarkEnd w:id="41"/>
    <w:bookmarkStart w:name="z135" w:id="42"/>
    <w:p>
      <w:pPr>
        <w:spacing w:after="0"/>
        <w:ind w:left="0"/>
        <w:jc w:val="both"/>
      </w:pPr>
      <w:r>
        <w:rPr>
          <w:rFonts w:ascii="Times New Roman"/>
          <w:b w:val="false"/>
          <w:i w:val="false"/>
          <w:color w:val="000000"/>
          <w:sz w:val="28"/>
        </w:rPr>
        <w:t>
      Bpd2 – базовый бал за D2;</w:t>
      </w:r>
    </w:p>
    <w:bookmarkEnd w:id="42"/>
    <w:bookmarkStart w:name="z136" w:id="43"/>
    <w:p>
      <w:pPr>
        <w:spacing w:after="0"/>
        <w:ind w:left="0"/>
        <w:jc w:val="both"/>
      </w:pPr>
      <w:r>
        <w:rPr>
          <w:rFonts w:ascii="Times New Roman"/>
          <w:b w:val="false"/>
          <w:i w:val="false"/>
          <w:color w:val="000000"/>
          <w:sz w:val="28"/>
        </w:rPr>
        <w:t>
      D3 – количество полностью не предоставленных пакетов документов по проектам;</w:t>
      </w:r>
    </w:p>
    <w:bookmarkEnd w:id="43"/>
    <w:bookmarkStart w:name="z137" w:id="44"/>
    <w:p>
      <w:pPr>
        <w:spacing w:after="0"/>
        <w:ind w:left="0"/>
        <w:jc w:val="both"/>
      </w:pPr>
      <w:r>
        <w:rPr>
          <w:rFonts w:ascii="Times New Roman"/>
          <w:b w:val="false"/>
          <w:i w:val="false"/>
          <w:color w:val="000000"/>
          <w:sz w:val="28"/>
        </w:rPr>
        <w:t>
      Bpd3 – базовый бал за D3;</w:t>
      </w:r>
    </w:p>
    <w:bookmarkEnd w:id="44"/>
    <w:bookmarkStart w:name="z138" w:id="45"/>
    <w:p>
      <w:pPr>
        <w:spacing w:after="0"/>
        <w:ind w:left="0"/>
        <w:jc w:val="both"/>
      </w:pPr>
      <w:r>
        <w:rPr>
          <w:rFonts w:ascii="Times New Roman"/>
          <w:b w:val="false"/>
          <w:i w:val="false"/>
          <w:color w:val="000000"/>
          <w:sz w:val="28"/>
        </w:rPr>
        <w:t>
      n – количество проектов ГЧП.</w:t>
      </w:r>
    </w:p>
    <w:bookmarkEnd w:id="45"/>
    <w:bookmarkStart w:name="z139" w:id="46"/>
    <w:p>
      <w:pPr>
        <w:spacing w:after="0"/>
        <w:ind w:left="0"/>
        <w:jc w:val="both"/>
      </w:pPr>
      <w:r>
        <w:rPr>
          <w:rFonts w:ascii="Times New Roman"/>
          <w:b w:val="false"/>
          <w:i w:val="false"/>
          <w:color w:val="000000"/>
          <w:sz w:val="28"/>
        </w:rPr>
        <w:t>
      2. Оценка значений критериев осуществляется на основании следующих сведений:</w:t>
      </w:r>
    </w:p>
    <w:bookmarkEnd w:id="46"/>
    <w:bookmarkStart w:name="z140" w:id="47"/>
    <w:p>
      <w:pPr>
        <w:spacing w:after="0"/>
        <w:ind w:left="0"/>
        <w:jc w:val="both"/>
      </w:pPr>
      <w:r>
        <w:rPr>
          <w:rFonts w:ascii="Times New Roman"/>
          <w:b w:val="false"/>
          <w:i w:val="false"/>
          <w:color w:val="000000"/>
          <w:sz w:val="28"/>
        </w:rPr>
        <w:t>
      1) индекс окупаемости инвестиций частного партнера за счет государственных обязательств: сумма инвестиций частного партнера и государственных обязательств определяется на основе заключенных Договоров по проектам ГЧП;</w:t>
      </w:r>
    </w:p>
    <w:bookmarkEnd w:id="47"/>
    <w:bookmarkStart w:name="z141" w:id="48"/>
    <w:p>
      <w:pPr>
        <w:spacing w:after="0"/>
        <w:ind w:left="0"/>
        <w:jc w:val="both"/>
      </w:pPr>
      <w:r>
        <w:rPr>
          <w:rFonts w:ascii="Times New Roman"/>
          <w:b w:val="false"/>
          <w:i w:val="false"/>
          <w:color w:val="000000"/>
          <w:sz w:val="28"/>
        </w:rPr>
        <w:t>
      2) своевременность предоставления результатов мониторинга реализации проектов: определяется на основе официальных сопроводительных писем местных исполнительных органов, с предоставлением мониторинга проектов, в адрес Центра развития ГЧП;</w:t>
      </w:r>
    </w:p>
    <w:bookmarkEnd w:id="48"/>
    <w:bookmarkStart w:name="z142" w:id="49"/>
    <w:p>
      <w:pPr>
        <w:spacing w:after="0"/>
        <w:ind w:left="0"/>
        <w:jc w:val="both"/>
      </w:pPr>
      <w:r>
        <w:rPr>
          <w:rFonts w:ascii="Times New Roman"/>
          <w:b w:val="false"/>
          <w:i w:val="false"/>
          <w:color w:val="000000"/>
          <w:sz w:val="28"/>
        </w:rPr>
        <w:t>
      3) предоставление пакета документов по проектам ГЧП: определяется на основе официальных сопроводительных писем местных исполнительных органов, с предоставлением пакета запрашиваемых документов, в адрес Центра развития ГЧП. Количество и наименование предоставляемых документов определяется Центром развития ГЧП.</w:t>
      </w:r>
    </w:p>
    <w:bookmarkEnd w:id="49"/>
    <w:bookmarkStart w:name="z143" w:id="50"/>
    <w:p>
      <w:pPr>
        <w:spacing w:after="0"/>
        <w:ind w:left="0"/>
        <w:jc w:val="both"/>
      </w:pPr>
      <w:r>
        <w:rPr>
          <w:rFonts w:ascii="Times New Roman"/>
          <w:b w:val="false"/>
          <w:i w:val="false"/>
          <w:color w:val="000000"/>
          <w:sz w:val="28"/>
        </w:rPr>
        <w:t>
      3. Базовые баллы за каждый критерий оценки показателей уровня развития ГЧП, определяются согласно Таблице 1.</w:t>
      </w:r>
    </w:p>
    <w:bookmarkEnd w:id="50"/>
    <w:bookmarkStart w:name="z144" w:id="51"/>
    <w:p>
      <w:pPr>
        <w:spacing w:after="0"/>
        <w:ind w:left="0"/>
        <w:jc w:val="both"/>
      </w:pPr>
      <w:r>
        <w:rPr>
          <w:rFonts w:ascii="Times New Roman"/>
          <w:b w:val="false"/>
          <w:i w:val="false"/>
          <w:color w:val="000000"/>
          <w:sz w:val="28"/>
        </w:rPr>
        <w:t>
      Таблица 1</w:t>
      </w:r>
    </w:p>
    <w:bookmarkEnd w:id="51"/>
    <w:bookmarkStart w:name="z145" w:id="52"/>
    <w:p>
      <w:pPr>
        <w:spacing w:after="0"/>
        <w:ind w:left="0"/>
        <w:jc w:val="left"/>
      </w:pPr>
      <w:r>
        <w:rPr>
          <w:rFonts w:ascii="Times New Roman"/>
          <w:b/>
          <w:i w:val="false"/>
          <w:color w:val="000000"/>
        </w:rPr>
        <w:t xml:space="preserve"> Базовые баллы по критериям оценки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балл за каждую единицу критерия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окупаемости привлеченных инвестиций ЧП за счет государственных обязательств (PIi)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предоставления мониторингов: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в установленный срок (M1)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после установленного срока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 (M3)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предоставленных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полный пакет документов (D1)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не полный пакет документов (D2)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 (D3)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