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2847" w14:textId="da12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19 февраля 2024 года № 2. Зарегистрирован в Министерстве юстиции Республики Казахстан 20 февраля 2024 года № 34009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"644. Минимальный уровень тарифа, определенный по отдельным направлениям, родам грузов, типам подвижного состава и в зависимости от расстояния перевозки в виде минимального индекса к тарифам на услуги магистральных железнодорожных сетей определяется ведомством уполномоченного органа по следующей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= ((P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A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) + 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perscript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+ 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perscript"/>
        </w:rPr>
        <w:t>заем</w:t>
      </w:r>
      <w:r>
        <w:rPr>
          <w:rFonts w:ascii="Times New Roman"/>
          <w:b w:val="false"/>
          <w:i w:val="false"/>
          <w:color w:val="000000"/>
          <w:sz w:val="28"/>
        </w:rPr>
        <w:t>) – P</w:t>
      </w:r>
      <w:r>
        <w:rPr>
          <w:rFonts w:ascii="Times New Roman"/>
          <w:b w:val="false"/>
          <w:i w:val="false"/>
          <w:color w:val="000000"/>
          <w:vertAlign w:val="subscript"/>
        </w:rPr>
        <w:t>усл-пост t</w:t>
      </w:r>
      <w:r>
        <w:rPr>
          <w:rFonts w:ascii="Times New Roman"/>
          <w:b w:val="false"/>
          <w:i w:val="false"/>
          <w:color w:val="000000"/>
          <w:sz w:val="28"/>
        </w:rPr>
        <w:t xml:space="preserve"> )/Д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минимальный уровень тарифа, определенный по отдельным направлениям, родам грузов, типам подвижного состава и в зависимости от расстояния перевозки в виде минимального индекса к тарифам на услуги магистральных железнодорожных сетей;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расходов субъекта по отдельным направлениям, родам грузов, типам подвижного состава и в зависимости от расстояния перевозок, связанных с предоставлением услуг магистральных железнодорожных сетей, учтенная в утвержденном тарифе на год t,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амортизационные отчисления, учтенные в утвержденном тарифе на год t,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perscript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затраты субъекта по реализации инвестиционных проектов, направленные на обеспечение безопасности, источником финансирования которых является прибыль субъекта, учтенные в утвержденном тарифе на год t,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perscript"/>
        </w:rPr>
        <w:t>заем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затраты субъекта, направленные на инвестиционные проекты, реализуемые с привлечением заемных средств, источником финансирования которых является прибыль субъекта, учтенные в утвержденном тарифе на год t,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усл-пост 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условно-постоянных расходов субъекта по отдельным направлениям, родам грузов, типам подвижного состава и в зависимости от расстояния перевозок, связанных с предоставлением услуг магистральных железнодорожных сетей, учтенная в утвержденном тарифе на год t,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прогнозируемая сумма дохода от предоставления услуг магистральных железнодорожных сетей, учтенная в утвержденном тарифе на год t,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Максимальный уровень тарифа, определенный по отдельным направлениям, родам грузов,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определяется ведомством уполномоченного органа по следующей формуле: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= (P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+ ДУП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Д</w:t>
      </w:r>
      <w:r>
        <w:rPr>
          <w:rFonts w:ascii="Times New Roman"/>
          <w:b w:val="false"/>
          <w:i w:val="false"/>
          <w:color w:val="000000"/>
          <w:vertAlign w:val="subscript"/>
        </w:rPr>
        <w:t>нецельt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ОД</w:t>
      </w:r>
      <w:r>
        <w:rPr>
          <w:rFonts w:ascii="Times New Roman"/>
          <w:b w:val="false"/>
          <w:i w:val="false"/>
          <w:color w:val="000000"/>
          <w:vertAlign w:val="subscript"/>
        </w:rPr>
        <w:t>внt</w:t>
      </w:r>
      <w:r>
        <w:rPr>
          <w:rFonts w:ascii="Times New Roman"/>
          <w:b w:val="false"/>
          <w:i w:val="false"/>
          <w:color w:val="000000"/>
          <w:sz w:val="28"/>
        </w:rPr>
        <w:t xml:space="preserve"> + P</w:t>
      </w:r>
      <w:r>
        <w:rPr>
          <w:rFonts w:ascii="Times New Roman"/>
          <w:b w:val="false"/>
          <w:i w:val="false"/>
          <w:color w:val="000000"/>
          <w:vertAlign w:val="subscript"/>
        </w:rPr>
        <w:t>усл-пост t</w:t>
      </w:r>
      <w:r>
        <w:rPr>
          <w:rFonts w:ascii="Times New Roman"/>
          <w:b w:val="false"/>
          <w:i w:val="false"/>
          <w:color w:val="000000"/>
          <w:sz w:val="28"/>
        </w:rPr>
        <w:t>)/Д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максимальный уровень тарифа определенный по отдельным направлениям, родам грузов,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расходов субъекта по отдельным направлениям, родам грузов, типам подвижного состава и в зависимости от расстояния перевозок, связанных с предоставлением услуг магистральных железнодорожных сетей, учтенная в утвержденном тарифе на год t,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допустимый уровень прибыли на предоставление услуг магистральных железнодорожных сетей, определенный в соответствии с Правилами определения допустимого уровня прибыли субъекта согласно главе 11 настоящих Правил;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прогнозируемая сумма дохода по отдельным направлениям, родам грузов, типам подвижного состава и в зависимости от расстояния перевозок от предоставления услуг магистральных железнодорожных сетей, учтенная в утвержденном тарифе на год t,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</w:t>
      </w:r>
      <w:r>
        <w:rPr>
          <w:rFonts w:ascii="Times New Roman"/>
          <w:b w:val="false"/>
          <w:i w:val="false"/>
          <w:color w:val="000000"/>
          <w:vertAlign w:val="subscript"/>
        </w:rPr>
        <w:t>внt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основной долг по отдельным направлениям, родам грузов, типам подвижного состава и в зависимости от расстояния перевозок от предоставления услуг магистральных железнодорожных сетей, на планируемый период утверждения тарифа,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нецельt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фактических доходов,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использование, определенная в соответствии с пунктом 651-2 настоящих Правил.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усл-пост 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условно-постоянных расходов субъекта по отдельным направлениям, родам грузов, типам подвижного состава и в зависимости от расстояния перевозок, связанных с предоставлением услуг магистральных железнодорожных сетей, учтенная в утвержденном тарифе на год t, принимаемая при расчете минимального уровня тарифа в соответствии с пунктом 644 настоящих Правил, тенге.".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национальной экономики Республики Казахстан.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