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582e" w14:textId="0a55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7 февраля 2024 года № 26. Зарегистрирован в Министерстве юстиции Республики Казахстан 8 февраля 2024 года № 33981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Реестре государственной регистрации нормативных правовых актов под № 27414)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Настоящая Инструкция распространяется на объекты Министерства просвещения Республики Казахстан, отнесенные к объектам уязвимым в террористическом отношении, а также на объекты, осуществляющие деятельность в сферах дошкольного, среднего, технического и профессионального, послесреднего, дополнительного образования для детей, отнесенные к объектам уязвимым в террористическом отношении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досмотра, ручной клади, груза, багажа, почты, воспитанников и обучающихся, персонала и посетителей.";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Собственники, владельцы, руководители объектов, согласно пункту 77 главы 6, отнесенных ко 2 группе для обеспечения более высокого уровня антитеррористической защищенности объектов заключают договор об оказании охранных услуг на срок не менее трех лет c частными охранными организациями,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под № 10371).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об оказании охранных услуг с субъектом охранной деятельности согласовывается с попечительским (родительским) советом.";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С учетом возможных последствий совершения акта терроризма объекты образования делятся на следующие группы: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объекты образования с фактическим количеством персонала и обучающихся (воспитанников) до 700 человек;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объекты образования, расположенные в районных центрах, городах районного значения, городах областного значения, в городах республиканского значения, столице, а также независимо от расположения с фактическим количеством персонала и обучающихся (воспитанников) более 700 человек.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Объекты первой группы оснащаются следующими средствами: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оповещения, соответствующей Правилам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утвержденным приказом Министра внутренних дел Республики Казахстан от 26 декабря 2014 года № 945 (зарегистрирован в Реестре государственной регистрации нормативных правовых актов под № 10151);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системой видеонаблюдения, с передачей видеоизображения в Центры оперативного управления полиции либо в дежурные части территориальных органов внутренних дел, соответствующей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мобильным и/или стационарным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сигнала тревоги на пульт централизованного наблюдения субъектов охранной деятельности, незамедлительно информирует органы внутренних дел.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Объекты второй группы дополнительно к техническому оснащению, предусмотренные пунктом 78 настоящей Инструкции, оснащаются системами контроля и управления доступом (турникеты), для дошкольных организаций образования применяется домофонная система.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возникновение пожара системы контроля и управления доступом обеспечивают беспрепятственную и своевременную эвакуацию людей в соответствии с требованиями технического регламента "Общие требования к пожарной безопасности",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24045), а также государственных нормативов в области архитектуры, градостроительства и строительства.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Объекты образования после проведения проверки со стороны органов внутренних дел в информационную систему "Национальная образовательная база данных" вносят информацию о соответствии установленным требованиям настоящей Инструкции.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на основании запроса законных представителей ребенка, обучающегося в данной организации образования, предоставляет доступ к системе видеонаблюдения, с передачей видеоизображения на мобильное устройство.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предоставлению доступа к системе видеонаблюдения, с передачей видеоизображения на мобильное устройство оплачиваются законными представителями ребенка.";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"88. Технические требования к системам видеонаблюдения соответствуют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обеспечивает хранение видеозаписей с камер наблюдения на срок не менее 30 дней.".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