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85703" w14:textId="37857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развития рынка ценных бумаг</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6 февраля 2024 года № 10. Зарегистрирован в Министерстве юстиции Республики Казахстан 7 февраля 2024 года № 33976</w:t>
      </w:r>
    </w:p>
    <w:p>
      <w:pPr>
        <w:spacing w:after="0"/>
        <w:ind w:left="0"/>
        <w:jc w:val="both"/>
      </w:pPr>
      <w:bookmarkStart w:name="z4" w:id="0"/>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развития рынка ценных бумаг, в которые вносятся изменения и дополнения,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рынка ценных бумаг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6 февраля 2024 года № 10</w:t>
            </w:r>
          </w:p>
        </w:tc>
      </w:tr>
    </w:tbl>
    <w:bookmarkStart w:name="z14" w:id="8"/>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развития рынка ценных бумаг, в которые вносятся изменения и дополнения</w:t>
      </w:r>
    </w:p>
    <w:bookmarkEnd w:id="8"/>
    <w:bookmarkStart w:name="z15" w:id="9"/>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 февраля 2014 года № 10 "Об утверждении Правил осуществления деятельности по управлению инвестиционным портфелем" (зарегистрировано в Реестре государственной регистрации нормативных правовых актов под № 9248) следующие изменения:</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7" w:id="1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деятельности по управлению инвестиционным портфелем, утвержденных указанным постановлением: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20" w:id="12"/>
    <w:p>
      <w:pPr>
        <w:spacing w:after="0"/>
        <w:ind w:left="0"/>
        <w:jc w:val="both"/>
      </w:pPr>
      <w:r>
        <w:rPr>
          <w:rFonts w:ascii="Times New Roman"/>
          <w:b w:val="false"/>
          <w:i w:val="false"/>
          <w:color w:val="000000"/>
          <w:sz w:val="28"/>
        </w:rPr>
        <w:t>
      "11. При заключении договора клиентом представляются управляющему инвестиционным портфелем следующие документы:</w:t>
      </w:r>
    </w:p>
    <w:bookmarkEnd w:id="12"/>
    <w:bookmarkStart w:name="z21" w:id="13"/>
    <w:p>
      <w:pPr>
        <w:spacing w:after="0"/>
        <w:ind w:left="0"/>
        <w:jc w:val="both"/>
      </w:pPr>
      <w:r>
        <w:rPr>
          <w:rFonts w:ascii="Times New Roman"/>
          <w:b w:val="false"/>
          <w:i w:val="false"/>
          <w:color w:val="000000"/>
          <w:sz w:val="28"/>
        </w:rPr>
        <w:t>
      1) копия документа, удостоверяющего личность, либо электронный документ из сервиса цифровых документов (для идентификации) клиента - физического лица;</w:t>
      </w:r>
    </w:p>
    <w:bookmarkEnd w:id="13"/>
    <w:bookmarkStart w:name="z22" w:id="14"/>
    <w:p>
      <w:pPr>
        <w:spacing w:after="0"/>
        <w:ind w:left="0"/>
        <w:jc w:val="both"/>
      </w:pPr>
      <w:r>
        <w:rPr>
          <w:rFonts w:ascii="Times New Roman"/>
          <w:b w:val="false"/>
          <w:i w:val="false"/>
          <w:color w:val="000000"/>
          <w:sz w:val="28"/>
        </w:rPr>
        <w:t>
      2) для клиентов - юридических лиц (резидентов Республики Казахстан):</w:t>
      </w:r>
    </w:p>
    <w:bookmarkEnd w:id="14"/>
    <w:bookmarkStart w:name="z23" w:id="15"/>
    <w:p>
      <w:pPr>
        <w:spacing w:after="0"/>
        <w:ind w:left="0"/>
        <w:jc w:val="both"/>
      </w:pPr>
      <w:r>
        <w:rPr>
          <w:rFonts w:ascii="Times New Roman"/>
          <w:b w:val="false"/>
          <w:i w:val="false"/>
          <w:color w:val="000000"/>
          <w:sz w:val="28"/>
        </w:rPr>
        <w:t>
      копии устава (при наличии), справки о государственной регистрации (перерегистрации) юридического лица;</w:t>
      </w:r>
    </w:p>
    <w:bookmarkEnd w:id="15"/>
    <w:bookmarkStart w:name="z24" w:id="16"/>
    <w:p>
      <w:pPr>
        <w:spacing w:after="0"/>
        <w:ind w:left="0"/>
        <w:jc w:val="both"/>
      </w:pPr>
      <w:r>
        <w:rPr>
          <w:rFonts w:ascii="Times New Roman"/>
          <w:b w:val="false"/>
          <w:i w:val="false"/>
          <w:color w:val="000000"/>
          <w:sz w:val="28"/>
        </w:rPr>
        <w:t>
      нотариально засвидетельствованный документ с образцами подписей (в том числе представителей юридического лица, обладающих правом подписывать от имени клиента изменения и дополнения в договор, акты приема-передачи активов в инвестиционное управление и документы в процессе взаимодействия клиента и управляющего инвестиционным портфелем);</w:t>
      </w:r>
    </w:p>
    <w:bookmarkEnd w:id="16"/>
    <w:bookmarkStart w:name="z25" w:id="17"/>
    <w:p>
      <w:pPr>
        <w:spacing w:after="0"/>
        <w:ind w:left="0"/>
        <w:jc w:val="both"/>
      </w:pPr>
      <w:r>
        <w:rPr>
          <w:rFonts w:ascii="Times New Roman"/>
          <w:b w:val="false"/>
          <w:i w:val="false"/>
          <w:color w:val="000000"/>
          <w:sz w:val="28"/>
        </w:rPr>
        <w:t>
      3) для клиентов - юридических лиц (нерезидентов Республики Казахстан):</w:t>
      </w:r>
    </w:p>
    <w:bookmarkEnd w:id="17"/>
    <w:bookmarkStart w:name="z26" w:id="18"/>
    <w:p>
      <w:pPr>
        <w:spacing w:after="0"/>
        <w:ind w:left="0"/>
        <w:jc w:val="both"/>
      </w:pPr>
      <w:r>
        <w:rPr>
          <w:rFonts w:ascii="Times New Roman"/>
          <w:b w:val="false"/>
          <w:i w:val="false"/>
          <w:color w:val="000000"/>
          <w:sz w:val="28"/>
        </w:rPr>
        <w:t>
      копия устава (при наличии);</w:t>
      </w:r>
    </w:p>
    <w:bookmarkEnd w:id="18"/>
    <w:bookmarkStart w:name="z27" w:id="19"/>
    <w:p>
      <w:pPr>
        <w:spacing w:after="0"/>
        <w:ind w:left="0"/>
        <w:jc w:val="both"/>
      </w:pPr>
      <w:r>
        <w:rPr>
          <w:rFonts w:ascii="Times New Roman"/>
          <w:b w:val="false"/>
          <w:i w:val="false"/>
          <w:color w:val="000000"/>
          <w:sz w:val="28"/>
        </w:rPr>
        <w:t>
      копия документа, подтверждающего государственную регистрацию юридического лица, выданного уполномоченным органом государства нерезидента Республики Казахстан;</w:t>
      </w:r>
    </w:p>
    <w:bookmarkEnd w:id="19"/>
    <w:bookmarkStart w:name="z28" w:id="20"/>
    <w:p>
      <w:pPr>
        <w:spacing w:after="0"/>
        <w:ind w:left="0"/>
        <w:jc w:val="both"/>
      </w:pPr>
      <w:r>
        <w:rPr>
          <w:rFonts w:ascii="Times New Roman"/>
          <w:b w:val="false"/>
          <w:i w:val="false"/>
          <w:color w:val="000000"/>
          <w:sz w:val="28"/>
        </w:rPr>
        <w:t>
      документ с образцами подписей (в том числе представителей юридического лица, обладающих правом подписывать изменения и дополнения в договор, акты приема-передач и активов в инвестиционное управление и документы в процессе взаимодействия клиента и управляющего инвестиционным портфелем);</w:t>
      </w:r>
    </w:p>
    <w:bookmarkEnd w:id="20"/>
    <w:bookmarkStart w:name="z29" w:id="21"/>
    <w:p>
      <w:pPr>
        <w:spacing w:after="0"/>
        <w:ind w:left="0"/>
        <w:jc w:val="both"/>
      </w:pPr>
      <w:r>
        <w:rPr>
          <w:rFonts w:ascii="Times New Roman"/>
          <w:b w:val="false"/>
          <w:i w:val="false"/>
          <w:color w:val="000000"/>
          <w:sz w:val="28"/>
        </w:rPr>
        <w:t>
      доверенность или решение уполномоченного органа юридического лица, в отношении представителя юридического лица, который будет заключать договор и (или) осуществлять действия;</w:t>
      </w:r>
    </w:p>
    <w:bookmarkEnd w:id="21"/>
    <w:bookmarkStart w:name="z30" w:id="22"/>
    <w:p>
      <w:pPr>
        <w:spacing w:after="0"/>
        <w:ind w:left="0"/>
        <w:jc w:val="both"/>
      </w:pPr>
      <w:r>
        <w:rPr>
          <w:rFonts w:ascii="Times New Roman"/>
          <w:b w:val="false"/>
          <w:i w:val="false"/>
          <w:color w:val="000000"/>
          <w:sz w:val="28"/>
        </w:rPr>
        <w:t>
      документы, предусмотренные внутренними документами управляющего инвестиционным портфелем.</w:t>
      </w:r>
    </w:p>
    <w:bookmarkEnd w:id="22"/>
    <w:bookmarkStart w:name="z31" w:id="23"/>
    <w:p>
      <w:pPr>
        <w:spacing w:after="0"/>
        <w:ind w:left="0"/>
        <w:jc w:val="both"/>
      </w:pPr>
      <w:r>
        <w:rPr>
          <w:rFonts w:ascii="Times New Roman"/>
          <w:b w:val="false"/>
          <w:i w:val="false"/>
          <w:color w:val="000000"/>
          <w:sz w:val="28"/>
        </w:rPr>
        <w:t>
      Документы, указанные в подпункте 3) настоящего пункта Правил, представляются клиентом с нотариально засвидетельствованным переводом на казахский и (или) русский языки.";</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40-1</w:t>
      </w:r>
      <w:r>
        <w:rPr>
          <w:rFonts w:ascii="Times New Roman"/>
          <w:b w:val="false"/>
          <w:i w:val="false"/>
          <w:color w:val="000000"/>
          <w:sz w:val="28"/>
        </w:rPr>
        <w:t xml:space="preserve"> изложить в следующей редакции:</w:t>
      </w:r>
    </w:p>
    <w:bookmarkStart w:name="z33" w:id="24"/>
    <w:p>
      <w:pPr>
        <w:spacing w:after="0"/>
        <w:ind w:left="0"/>
        <w:jc w:val="both"/>
      </w:pPr>
      <w:r>
        <w:rPr>
          <w:rFonts w:ascii="Times New Roman"/>
          <w:b w:val="false"/>
          <w:i w:val="false"/>
          <w:color w:val="000000"/>
          <w:sz w:val="28"/>
        </w:rPr>
        <w:t xml:space="preserve">
      "40-1. Порядок учета пенсионных активов и оценки финансовых инструментов, в которые управляющий инвестиционным портфелем инвестирует пенсионные активы,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осуществления учета и оценки пенсионных активов, утвержденными постановлением Правления Агентства Республики Казахстан по регулированию и развитию финансового рынка от 26 июня 2023 года № 58, зарегистрированным в Реестре государственной регистрации нормативных правовых актов под № 32997.";</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35" w:id="25"/>
    <w:p>
      <w:pPr>
        <w:spacing w:after="0"/>
        <w:ind w:left="0"/>
        <w:jc w:val="both"/>
      </w:pPr>
      <w:r>
        <w:rPr>
          <w:rFonts w:ascii="Times New Roman"/>
          <w:b w:val="false"/>
          <w:i w:val="false"/>
          <w:color w:val="000000"/>
          <w:sz w:val="28"/>
        </w:rPr>
        <w:t>
      "41. Учет и хранение денег, принадлежащих клиентам управляющего инвестиционным портфелем, за исключением учета и хранения золотовалютных активов Национального Банка Республики Казахстан и активов Национального фонда Республики Казахстан, переданных в инвестиционное управление, осуществляется на банковских счетах, открытых управляющим инвестиционным портфелем в неаффилированных с ним банках, обладающих лицензией на осуществление кастодиальной деятельности на рынке ценных бумаг, или в иностранных расчетных организациях, обладающих аналогичной лицензией, выданной иностранным органом надзора, в случаях установленных Законом о рынке ценных бумаг".</w:t>
      </w:r>
    </w:p>
    <w:bookmarkEnd w:id="25"/>
    <w:bookmarkStart w:name="z36" w:id="26"/>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22 октября 2014 года № 210 "Об утверждении Правил регистрации сделок с эмиссионными ценными бумагами, уступки прав требования по обязательствам эмитентов по эмиссионным ценным бумагам в системе учета центрального депозитария, предоставления выписки с лицевого счета зарегистрированного лица в системе учета центрального депозитария и (или) в системе учета номинального держания и предоставления номинальным держателем информации о клиентах, ценные бумаги которых находятся в его номинальном держании, по требованию центрального депозитария и эмитента" (зарегистрировано в Реестре государственной регистрации нормативных правовых актов под № 9876) следующие изменения и дополнение:</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38" w:id="27"/>
    <w:p>
      <w:pPr>
        <w:spacing w:after="0"/>
        <w:ind w:left="0"/>
        <w:jc w:val="both"/>
      </w:pPr>
      <w:r>
        <w:rPr>
          <w:rFonts w:ascii="Times New Roman"/>
          <w:b w:val="false"/>
          <w:i w:val="false"/>
          <w:color w:val="000000"/>
          <w:sz w:val="28"/>
        </w:rPr>
        <w:t>
      "Об утверждении Правил регистрации сделок с эмиссионными ценными бумагами, уступки прав требования по обязательствам эмитентов по эмиссионным ценным бумагам в системе учета номинального держания и системе реестров держателей ценных бумаг, предоставления выписки с лицевого счета зарегистрированного лица в системе учета центрального депозитария и (или) в системе учета номинального держания и предоставления номинальным держателем информации о клиентах, ценные бумаги которых находятся в его номинальном держании, по требованию центрального депозитария и эмитента";</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0" w:id="28"/>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регистрации сделок с эмиссионными ценными бумагами, уступки прав требования по обязательствам эмитентов по эмиссионным ценным бумагам в системе учета номинального держания и системе реестров держателей ценных бумаг, предоставления выписки с лицевого счета зарегистрированного лица в системе учета центрального депозитария и (или) в системе учета номинального держания и предоставления номинальным держателем информации о клиентах, ценные бумаги которых находятся в его номинальном держании, по требованию центрального депозитария и эмитента.";</w:t>
      </w:r>
    </w:p>
    <w:bookmarkEnd w:id="28"/>
    <w:bookmarkStart w:name="z41"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регистрации сделок с эмиссионными ценными бумагами, уступки прав требования по обязательствам эмитентов по эмиссионным ценным бумагам в системе учета центрального депозитария, предоставления выписки с лицевого счета зарегистрированного лица в системе учета центрального депозитария и (или) в системе учета номинального держания и предоставления номинальным держателем информации о клиентах, ценные бумаги которых находятся в его номинальном держании, по требованию центрального депозитария и эмитента, утвержденных указанным постановлением:</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43" w:id="30"/>
    <w:p>
      <w:pPr>
        <w:spacing w:after="0"/>
        <w:ind w:left="0"/>
        <w:jc w:val="both"/>
      </w:pPr>
      <w:r>
        <w:rPr>
          <w:rFonts w:ascii="Times New Roman"/>
          <w:b w:val="false"/>
          <w:i w:val="false"/>
          <w:color w:val="000000"/>
          <w:sz w:val="28"/>
        </w:rPr>
        <w:t>
      "Правила регистрации сделок с эмиссионными ценными бумагами, уступки прав требования по обязательствам эмитентов по эмиссионным ценным бумагам в системе учета номинального держания и системе реестров держателей ценных бумаг, предоставления выписки с лицевого счета зарегистрированного лица в системе учета центрального депозитария и (или) в системе учета номинального держания и предоставления номинальным держателем информации о клиентах, ценные бумаги которых находятся в его номинальном держании, по требованию центрального депозитария и эмитента";</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45" w:id="31"/>
    <w:p>
      <w:pPr>
        <w:spacing w:after="0"/>
        <w:ind w:left="0"/>
        <w:jc w:val="both"/>
      </w:pPr>
      <w:r>
        <w:rPr>
          <w:rFonts w:ascii="Times New Roman"/>
          <w:b w:val="false"/>
          <w:i w:val="false"/>
          <w:color w:val="000000"/>
          <w:sz w:val="28"/>
        </w:rPr>
        <w:t>
      "Настоящие Правила регистрации сделок с эмиссионными ценными бумагами, уступки прав требования по обязательствам эмитентов по эмиссионным ценным бумагам в системе учета номинального держания и системе реестров держателей ценных бумаг, предоставления выписки с лицевого счета зарегистрированного лица в системе учета центрального депозитария и (или) в системе учета номинального держания и предоставления номинальным держателем информации о клиентах, ценные бумаги которых находятся в его номинальном держании, по требованию центрального депозитария и эмитента (далее - Правила) разработаны в соответствии с законами Республики Казахстан "</w:t>
      </w:r>
      <w:r>
        <w:rPr>
          <w:rFonts w:ascii="Times New Roman"/>
          <w:b w:val="false"/>
          <w:i w:val="false"/>
          <w:color w:val="000000"/>
          <w:sz w:val="28"/>
        </w:rPr>
        <w:t>О рынке ценных бумаг</w:t>
      </w:r>
      <w:r>
        <w:rPr>
          <w:rFonts w:ascii="Times New Roman"/>
          <w:b w:val="false"/>
          <w:i w:val="false"/>
          <w:color w:val="000000"/>
          <w:sz w:val="28"/>
        </w:rPr>
        <w:t>" (далее - Закон о рынке ценных бумаг),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и устанавливают порядок регистрации сделок с эмиссионными ценными бумагами, уступки прав требования по обязательствам эмитентов по эмиссионным ценным бумагам в системе учета номинального держания и системе реестров держателей ценных бумаг, условия и порядок предоставления выписки с лицевого счета зарегистрированного лица в системе учета центрального депозитария и (или) в системе учета номинального держания, а также порядок предоставления номинальным держателем информации о клиентах, ценные бумаги которых находятся в его номинальном держании по требованию центрального депозитария и эмитента.";</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w:t>
      </w:r>
      <w:r>
        <w:rPr>
          <w:rFonts w:ascii="Times New Roman"/>
          <w:b w:val="false"/>
          <w:i w:val="false"/>
          <w:color w:val="000000"/>
          <w:sz w:val="28"/>
        </w:rPr>
        <w:t xml:space="preserve"> изложить в следующей редакции:</w:t>
      </w:r>
    </w:p>
    <w:bookmarkStart w:name="z47" w:id="32"/>
    <w:p>
      <w:pPr>
        <w:spacing w:after="0"/>
        <w:ind w:left="0"/>
        <w:jc w:val="both"/>
      </w:pPr>
      <w:r>
        <w:rPr>
          <w:rFonts w:ascii="Times New Roman"/>
          <w:b w:val="false"/>
          <w:i w:val="false"/>
          <w:color w:val="000000"/>
          <w:sz w:val="28"/>
        </w:rPr>
        <w:t>
      "Глава 2. Порядок регистрации сделок с эмиссионными ценными бумагами, уступки прав требования по обязательствам эмитентов по эмиссионным ценным бумагам в системе учета номинального держания и системе реестров держателей ценных бумаг. Условия и порядок предоставления выписки с лицевого счета зарегистрированного лица в системе учета центрального депозитария и (или) в системе учета номинального держания";</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22-1</w:t>
      </w:r>
      <w:r>
        <w:rPr>
          <w:rFonts w:ascii="Times New Roman"/>
          <w:b w:val="false"/>
          <w:i w:val="false"/>
          <w:color w:val="000000"/>
          <w:sz w:val="28"/>
        </w:rPr>
        <w:t xml:space="preserve"> изложить в следующей редакции:</w:t>
      </w:r>
    </w:p>
    <w:bookmarkStart w:name="z49" w:id="33"/>
    <w:p>
      <w:pPr>
        <w:spacing w:after="0"/>
        <w:ind w:left="0"/>
        <w:jc w:val="both"/>
      </w:pPr>
      <w:r>
        <w:rPr>
          <w:rFonts w:ascii="Times New Roman"/>
          <w:b w:val="false"/>
          <w:i w:val="false"/>
          <w:color w:val="000000"/>
          <w:sz w:val="28"/>
        </w:rPr>
        <w:t xml:space="preserve">
      "22-1. Учет пенсионных активов в системе учета кастодиана осуществляется в соответствии с Правилами осуществления учета и оценки пенсионных активов,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июня 2023 года № 58, зарегистрированным в Реестре государственной регистрации нормативных правовых актов под № 32997.";</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51" w:id="34"/>
    <w:p>
      <w:pPr>
        <w:spacing w:after="0"/>
        <w:ind w:left="0"/>
        <w:jc w:val="both"/>
      </w:pPr>
      <w:r>
        <w:rPr>
          <w:rFonts w:ascii="Times New Roman"/>
          <w:b w:val="false"/>
          <w:i w:val="false"/>
          <w:color w:val="000000"/>
          <w:sz w:val="28"/>
        </w:rPr>
        <w:t>
      "27. Номинальный держатель оформляет отказ в письменном виде или в форме электронного документа с использованием информационных систем в соответствии с законодательством Республики Казахстан об электронном документе и электронной цифровой подписи с указанием причин неисполнения приказа в следующих случаях:</w:t>
      </w:r>
    </w:p>
    <w:bookmarkEnd w:id="34"/>
    <w:bookmarkStart w:name="z52" w:id="35"/>
    <w:p>
      <w:pPr>
        <w:spacing w:after="0"/>
        <w:ind w:left="0"/>
        <w:jc w:val="both"/>
      </w:pPr>
      <w:r>
        <w:rPr>
          <w:rFonts w:ascii="Times New Roman"/>
          <w:b w:val="false"/>
          <w:i w:val="false"/>
          <w:color w:val="000000"/>
          <w:sz w:val="28"/>
        </w:rPr>
        <w:t>
      1) несоответствия подписей на приказах образцам, засвидетельствованным нотариально;</w:t>
      </w:r>
    </w:p>
    <w:bookmarkEnd w:id="35"/>
    <w:bookmarkStart w:name="z53" w:id="36"/>
    <w:p>
      <w:pPr>
        <w:spacing w:after="0"/>
        <w:ind w:left="0"/>
        <w:jc w:val="both"/>
      </w:pPr>
      <w:r>
        <w:rPr>
          <w:rFonts w:ascii="Times New Roman"/>
          <w:b w:val="false"/>
          <w:i w:val="false"/>
          <w:color w:val="000000"/>
          <w:sz w:val="28"/>
        </w:rPr>
        <w:t>
      2) непредставления встречного приказа в течение 2 (двух) календарных дней после даты получения приказа на совершение операции;</w:t>
      </w:r>
    </w:p>
    <w:bookmarkEnd w:id="36"/>
    <w:bookmarkStart w:name="z54" w:id="37"/>
    <w:p>
      <w:pPr>
        <w:spacing w:after="0"/>
        <w:ind w:left="0"/>
        <w:jc w:val="both"/>
      </w:pPr>
      <w:r>
        <w:rPr>
          <w:rFonts w:ascii="Times New Roman"/>
          <w:b w:val="false"/>
          <w:i w:val="false"/>
          <w:color w:val="000000"/>
          <w:sz w:val="28"/>
        </w:rPr>
        <w:t>
      3) несоответствия реквизитов приказов реквизитам, установленным Правилами, или реквизитам лицевого счета (субсчета);</w:t>
      </w:r>
    </w:p>
    <w:bookmarkEnd w:id="37"/>
    <w:bookmarkStart w:name="z55" w:id="38"/>
    <w:p>
      <w:pPr>
        <w:spacing w:after="0"/>
        <w:ind w:left="0"/>
        <w:jc w:val="both"/>
      </w:pPr>
      <w:r>
        <w:rPr>
          <w:rFonts w:ascii="Times New Roman"/>
          <w:b w:val="false"/>
          <w:i w:val="false"/>
          <w:color w:val="000000"/>
          <w:sz w:val="28"/>
        </w:rPr>
        <w:t>
      4) отсутствия необходимого количества ценных бумаг (прав требования по обязательствам эмитента по эмиссионным ценным бумагам) и (или) денег на счетах (субсчетах) клиентов;</w:t>
      </w:r>
    </w:p>
    <w:bookmarkEnd w:id="38"/>
    <w:bookmarkStart w:name="z56" w:id="39"/>
    <w:p>
      <w:pPr>
        <w:spacing w:after="0"/>
        <w:ind w:left="0"/>
        <w:jc w:val="both"/>
      </w:pPr>
      <w:r>
        <w:rPr>
          <w:rFonts w:ascii="Times New Roman"/>
          <w:b w:val="false"/>
          <w:i w:val="false"/>
          <w:color w:val="000000"/>
          <w:sz w:val="28"/>
        </w:rPr>
        <w:t>
      5) несоответствия содержания сделки законодательству Республики Казахстан о рынке ценных бумаг;</w:t>
      </w:r>
    </w:p>
    <w:bookmarkEnd w:id="39"/>
    <w:bookmarkStart w:name="z57" w:id="40"/>
    <w:p>
      <w:pPr>
        <w:spacing w:after="0"/>
        <w:ind w:left="0"/>
        <w:jc w:val="both"/>
      </w:pPr>
      <w:r>
        <w:rPr>
          <w:rFonts w:ascii="Times New Roman"/>
          <w:b w:val="false"/>
          <w:i w:val="false"/>
          <w:color w:val="000000"/>
          <w:sz w:val="28"/>
        </w:rPr>
        <w:t>
      6) непредставления клиентом в срок, установленный для регистрации сделки, документа, подтверждающего согласие уполномоченного органа на приобретение статуса крупного участника, в случаях, предусмотренных законодательными актами Республики Казахстан;</w:t>
      </w:r>
    </w:p>
    <w:bookmarkEnd w:id="40"/>
    <w:bookmarkStart w:name="z58" w:id="41"/>
    <w:p>
      <w:pPr>
        <w:spacing w:after="0"/>
        <w:ind w:left="0"/>
        <w:jc w:val="both"/>
      </w:pPr>
      <w:r>
        <w:rPr>
          <w:rFonts w:ascii="Times New Roman"/>
          <w:b w:val="false"/>
          <w:i w:val="false"/>
          <w:color w:val="000000"/>
          <w:sz w:val="28"/>
        </w:rPr>
        <w:t>
      7) наличия решения соответствующих государственных органов либо суда о приостановлении или прекращении обращения ценных бумаг;</w:t>
      </w:r>
    </w:p>
    <w:bookmarkEnd w:id="41"/>
    <w:bookmarkStart w:name="z59" w:id="42"/>
    <w:p>
      <w:pPr>
        <w:spacing w:after="0"/>
        <w:ind w:left="0"/>
        <w:jc w:val="both"/>
      </w:pPr>
      <w:r>
        <w:rPr>
          <w:rFonts w:ascii="Times New Roman"/>
          <w:b w:val="false"/>
          <w:i w:val="false"/>
          <w:color w:val="000000"/>
          <w:sz w:val="28"/>
        </w:rPr>
        <w:t xml:space="preserve">
      8) ценные бумаги и (или) лицевой счет или субсчет, указанные в приказе, заблокированы, за исключением, случаев, указанных в </w:t>
      </w:r>
      <w:r>
        <w:rPr>
          <w:rFonts w:ascii="Times New Roman"/>
          <w:b w:val="false"/>
          <w:i w:val="false"/>
          <w:color w:val="000000"/>
          <w:sz w:val="28"/>
        </w:rPr>
        <w:t>пункте 6-1</w:t>
      </w:r>
      <w:r>
        <w:rPr>
          <w:rFonts w:ascii="Times New Roman"/>
          <w:b w:val="false"/>
          <w:i w:val="false"/>
          <w:color w:val="000000"/>
          <w:sz w:val="28"/>
        </w:rPr>
        <w:t xml:space="preserve"> статьи 65 Закона Республики Казахстан "Об исполнительном производстве и статусе судебных исполнителей" (далее – Закон об исполнительном производстве);</w:t>
      </w:r>
    </w:p>
    <w:bookmarkEnd w:id="42"/>
    <w:bookmarkStart w:name="z60" w:id="43"/>
    <w:p>
      <w:pPr>
        <w:spacing w:after="0"/>
        <w:ind w:left="0"/>
        <w:jc w:val="both"/>
      </w:pPr>
      <w:r>
        <w:rPr>
          <w:rFonts w:ascii="Times New Roman"/>
          <w:b w:val="false"/>
          <w:i w:val="false"/>
          <w:color w:val="000000"/>
          <w:sz w:val="28"/>
        </w:rPr>
        <w:t xml:space="preserve">
      9) обременения ценных бумаг (прав требования по обязательствам эмитента по эмиссионным ценным бумагам), указанных в приказе, за исключением проведения операций по списанию (зачислению) ценных бумаг с (на) лицевых (лицевые) счетов (счета) (субсчетов (субсчета)) зарегистрированных лиц при реорганизации банков в форме присоединения, в отношении одного из которых была проведена реструктуризация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 (далее – Закон о банках);</w:t>
      </w:r>
    </w:p>
    <w:bookmarkEnd w:id="43"/>
    <w:bookmarkStart w:name="z61" w:id="44"/>
    <w:p>
      <w:pPr>
        <w:spacing w:after="0"/>
        <w:ind w:left="0"/>
        <w:jc w:val="both"/>
      </w:pPr>
      <w:r>
        <w:rPr>
          <w:rFonts w:ascii="Times New Roman"/>
          <w:b w:val="false"/>
          <w:i w:val="false"/>
          <w:color w:val="000000"/>
          <w:sz w:val="28"/>
        </w:rPr>
        <w:t>
      10) истечения срока действия документа, удостоверяющего личность клиента, на момент принятия приказа и (или) в период действия данного приказа;</w:t>
      </w:r>
    </w:p>
    <w:bookmarkEnd w:id="44"/>
    <w:bookmarkStart w:name="z62" w:id="45"/>
    <w:p>
      <w:pPr>
        <w:spacing w:after="0"/>
        <w:ind w:left="0"/>
        <w:jc w:val="both"/>
      </w:pPr>
      <w:r>
        <w:rPr>
          <w:rFonts w:ascii="Times New Roman"/>
          <w:b w:val="false"/>
          <w:i w:val="false"/>
          <w:color w:val="000000"/>
          <w:sz w:val="28"/>
        </w:rPr>
        <w:t>
      11) случаях, предусмотренных внутренним документом номинального держателя.";</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64" w:id="46"/>
    <w:p>
      <w:pPr>
        <w:spacing w:after="0"/>
        <w:ind w:left="0"/>
        <w:jc w:val="both"/>
      </w:pPr>
      <w:r>
        <w:rPr>
          <w:rFonts w:ascii="Times New Roman"/>
          <w:b w:val="false"/>
          <w:i w:val="false"/>
          <w:color w:val="000000"/>
          <w:sz w:val="28"/>
        </w:rPr>
        <w:t>
      "28. После получения извещения от центрального депозитария о допущенном эмитентом дефолте по эмиссионным ценным бумагам, срок обращения которых истек и эмитентом не исполнены обязательства по их погашению, о присвоенном идентификаторе правам требования по обязательствам эмитента по таким эмиссионным ценным бумагам и о проведенных операциях в системе учета номинального держания и системе реестров держателей ценных бумаг по списанию эмиссионных ценных бумаг, срок обращения которых истек, с субсчетов депонентов и их клиентов и зачислению прав требования по обязательствам эмитента по таким эмиссионным ценным бумагам, номинальный держатель в течение одного рабочего дня проводит аналогичные операции по субсчетам своих клиентов по списанию эмиссионных ценных бумаг, срок обращения которых истек (за исключением эмиссионных ценных бумаг, по которым в системе учета номинального держания проведена операция блокирования на основании актов государственных органов, обладающих таким правом в соответствии с законодательством Республики Казахстан об исполнительном производстве и статусе судебных исполнителей), и зачислению прав требования по обязательствам эмитента по таким эмиссионным ценным бумагам с сохранением обязательств, возникших по данным ценным бумагам (обременение, доверительное управление).</w:t>
      </w:r>
    </w:p>
    <w:bookmarkEnd w:id="46"/>
    <w:bookmarkStart w:name="z65" w:id="47"/>
    <w:p>
      <w:pPr>
        <w:spacing w:after="0"/>
        <w:ind w:left="0"/>
        <w:jc w:val="both"/>
      </w:pPr>
      <w:r>
        <w:rPr>
          <w:rFonts w:ascii="Times New Roman"/>
          <w:b w:val="false"/>
          <w:i w:val="false"/>
          <w:color w:val="000000"/>
          <w:sz w:val="28"/>
        </w:rPr>
        <w:t>
      В течение 3 (трех) календарных дней после даты проведения всех операций, указанных в части первой настоящего пункта, номинальный держатель направляет уведомления (отчеты) эмитенту, доверительным управляющим, а также лицам, в пользу которых было осуществлено обременение ценных бумаг, срок обращения которых истек и по которым эмитентом не исполнены обязательства по их погашению.</w:t>
      </w:r>
    </w:p>
    <w:bookmarkEnd w:id="47"/>
    <w:bookmarkStart w:name="z66" w:id="48"/>
    <w:p>
      <w:pPr>
        <w:spacing w:after="0"/>
        <w:ind w:left="0"/>
        <w:jc w:val="both"/>
      </w:pPr>
      <w:r>
        <w:rPr>
          <w:rFonts w:ascii="Times New Roman"/>
          <w:b w:val="false"/>
          <w:i w:val="false"/>
          <w:color w:val="000000"/>
          <w:sz w:val="28"/>
        </w:rPr>
        <w:t>
      Если по эмиссионным ценным бумагам, срок обращения которых истек, ранее номинальным держателем были осуществлены операции по их блокированию на основании актов государственных органов, обладающих таким правом в соответствии с законодательством Республики Казахстан об исполнительном производстве и статусе судебных исполнителей, номинальный держатель в течение 3 (трех) календарных дней со дня получения от центрального депозитария извещения, указанного в части первой настоящего пункта, направляет уведомление соответствующему государственному органу, на основании акта которого были проведены операции по блокированию ценных бумаг, о том, что по данным ценным бумагам срок обращения истек и эмитентом не исполнены обязательства по их погашению и что данные ценные бумаги подлежат замене на права требования по обязательствам эмитента по эмиссионным ценным бумагам.</w:t>
      </w:r>
    </w:p>
    <w:bookmarkEnd w:id="48"/>
    <w:bookmarkStart w:name="z67" w:id="49"/>
    <w:p>
      <w:pPr>
        <w:spacing w:after="0"/>
        <w:ind w:left="0"/>
        <w:jc w:val="both"/>
      </w:pPr>
      <w:r>
        <w:rPr>
          <w:rFonts w:ascii="Times New Roman"/>
          <w:b w:val="false"/>
          <w:i w:val="false"/>
          <w:color w:val="000000"/>
          <w:sz w:val="28"/>
        </w:rPr>
        <w:t xml:space="preserve">
      При осуществлении блокирования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 (далее – Закон о противодействии отмыванию доходов), уведомление направляется в государственный орган, осуществляющий финансовый мониторинг и принимающий иные меры по противодействию легализации (отмыванию) доходов, полученных преступным путем, и финансированию терроризма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противодействии отмыванию доходов.</w:t>
      </w:r>
    </w:p>
    <w:bookmarkEnd w:id="49"/>
    <w:bookmarkStart w:name="z68" w:id="50"/>
    <w:p>
      <w:pPr>
        <w:spacing w:after="0"/>
        <w:ind w:left="0"/>
        <w:jc w:val="both"/>
      </w:pPr>
      <w:r>
        <w:rPr>
          <w:rFonts w:ascii="Times New Roman"/>
          <w:b w:val="false"/>
          <w:i w:val="false"/>
          <w:color w:val="000000"/>
          <w:sz w:val="28"/>
        </w:rPr>
        <w:t>
      При этом операции по списанию таких эмиссионных ценных бумаг с лицевых счетов их держателей и зачислению на открытый в системе реестров держателей ценных бумаг лицевой счет эмитента для учета эмиссионных ценных бумаг, срок обращения которых истек, а также зачислению прав требования по обязательствам эмитента по таким эмиссионным ценным бумагам на лицевые счета их держателей, проводятся номинальным держателем после проведения операции по снятию блокирования эмиссионных ценных бумаг на основании актов государственных органов, обладающих таким правом в соответствии с законодательством Республики Казахстан об исполнительном производстве и статусе судебных исполнителей.</w:t>
      </w:r>
    </w:p>
    <w:bookmarkEnd w:id="50"/>
    <w:bookmarkStart w:name="z69" w:id="51"/>
    <w:p>
      <w:pPr>
        <w:spacing w:after="0"/>
        <w:ind w:left="0"/>
        <w:jc w:val="both"/>
      </w:pPr>
      <w:r>
        <w:rPr>
          <w:rFonts w:ascii="Times New Roman"/>
          <w:b w:val="false"/>
          <w:i w:val="false"/>
          <w:color w:val="000000"/>
          <w:sz w:val="28"/>
        </w:rPr>
        <w:t>
      При исполнении эмитентом обязательств перед держателем прав требования по эмиссионным ценным бумагам, срок обращения которых истек, номинальный держатель проводит операцию по списанию прав требования по таким ценным бумагам с лицевого счета их держателя и зачислению на лицевой счет эмитента по учету выкупленных прав требования по обязательствам эмитента по эмиссионным ценным бумагам, открытый в системе реестров держателей ценных бумаг, в порядке, установленном пунктом 31 Правил.";</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71" w:id="52"/>
    <w:p>
      <w:pPr>
        <w:spacing w:after="0"/>
        <w:ind w:left="0"/>
        <w:jc w:val="both"/>
      </w:pPr>
      <w:r>
        <w:rPr>
          <w:rFonts w:ascii="Times New Roman"/>
          <w:b w:val="false"/>
          <w:i w:val="false"/>
          <w:color w:val="000000"/>
          <w:sz w:val="28"/>
        </w:rPr>
        <w:t xml:space="preserve">
      "43. При учреждении доверительного управления акциями финансовой организации в случаях, предусмотренных пунктом 3 </w:t>
      </w:r>
      <w:r>
        <w:rPr>
          <w:rFonts w:ascii="Times New Roman"/>
          <w:b w:val="false"/>
          <w:i w:val="false"/>
          <w:color w:val="000000"/>
          <w:sz w:val="28"/>
        </w:rPr>
        <w:t>статьи 47-1</w:t>
      </w:r>
      <w:r>
        <w:rPr>
          <w:rFonts w:ascii="Times New Roman"/>
          <w:b w:val="false"/>
          <w:i w:val="false"/>
          <w:color w:val="000000"/>
          <w:sz w:val="28"/>
        </w:rPr>
        <w:t xml:space="preserve"> Закона о банках, </w:t>
      </w:r>
      <w:r>
        <w:rPr>
          <w:rFonts w:ascii="Times New Roman"/>
          <w:b w:val="false"/>
          <w:i w:val="false"/>
          <w:color w:val="000000"/>
          <w:sz w:val="28"/>
        </w:rPr>
        <w:t>пунктом 3</w:t>
      </w:r>
      <w:r>
        <w:rPr>
          <w:rFonts w:ascii="Times New Roman"/>
          <w:b w:val="false"/>
          <w:i w:val="false"/>
          <w:color w:val="000000"/>
          <w:sz w:val="28"/>
        </w:rPr>
        <w:t xml:space="preserve"> статьи 53-1 Закона Республики Казахстан "О страховой деятельности" (далее – Закон о страховой деятельности), </w:t>
      </w:r>
      <w:r>
        <w:rPr>
          <w:rFonts w:ascii="Times New Roman"/>
          <w:b w:val="false"/>
          <w:i w:val="false"/>
          <w:color w:val="000000"/>
          <w:sz w:val="28"/>
        </w:rPr>
        <w:t>пунктом 3</w:t>
      </w:r>
      <w:r>
        <w:rPr>
          <w:rFonts w:ascii="Times New Roman"/>
          <w:b w:val="false"/>
          <w:i w:val="false"/>
          <w:color w:val="000000"/>
          <w:sz w:val="28"/>
        </w:rPr>
        <w:t xml:space="preserve"> статьи 72-3 Закона о рынке ценных бумаг, номинальный держатель проводит в системе учета номинального держания операцию по внесению записи о доверительном управляющем на лицевой счет держателя ценных бумаг, являющегося собственником акций финансовой организации, на основании решения уполномоченного органа, об учреждении доверительного управления акциями финансовой организации и приказа доверительного управляющего о внесении записи о доверительном управляющем на лицевой счет данного держателя ценных бумаг.</w:t>
      </w:r>
    </w:p>
    <w:bookmarkEnd w:id="52"/>
    <w:bookmarkStart w:name="z72" w:id="53"/>
    <w:p>
      <w:pPr>
        <w:spacing w:after="0"/>
        <w:ind w:left="0"/>
        <w:jc w:val="both"/>
      </w:pPr>
      <w:r>
        <w:rPr>
          <w:rFonts w:ascii="Times New Roman"/>
          <w:b w:val="false"/>
          <w:i w:val="false"/>
          <w:color w:val="000000"/>
          <w:sz w:val="28"/>
        </w:rPr>
        <w:t xml:space="preserve">
      В случае реализации акций финансовой организации, переданных в доверительное управление, номинальный держатель проводит операции по списанию данных акций с лицевого счета держателя ценных бумаг, являвшегося их собственником, и зачислению на лицевой счет (лицевые счета) приобретателя данных акций на основании приказа доверительного управляющего, и документа, подтверждающего согласие уполномоченного органа, на приобретение статуса крупного участника финансовой организации (банковского либо страхового холдинга), в случаях, предусмотренных </w:t>
      </w:r>
      <w:r>
        <w:rPr>
          <w:rFonts w:ascii="Times New Roman"/>
          <w:b w:val="false"/>
          <w:i w:val="false"/>
          <w:color w:val="000000"/>
          <w:sz w:val="28"/>
        </w:rPr>
        <w:t>статьей 17-1</w:t>
      </w:r>
      <w:r>
        <w:rPr>
          <w:rFonts w:ascii="Times New Roman"/>
          <w:b w:val="false"/>
          <w:i w:val="false"/>
          <w:color w:val="000000"/>
          <w:sz w:val="28"/>
        </w:rPr>
        <w:t xml:space="preserve"> Закона о банках, </w:t>
      </w:r>
      <w:r>
        <w:rPr>
          <w:rFonts w:ascii="Times New Roman"/>
          <w:b w:val="false"/>
          <w:i w:val="false"/>
          <w:color w:val="000000"/>
          <w:sz w:val="28"/>
        </w:rPr>
        <w:t>статьей 26</w:t>
      </w:r>
      <w:r>
        <w:rPr>
          <w:rFonts w:ascii="Times New Roman"/>
          <w:b w:val="false"/>
          <w:i w:val="false"/>
          <w:color w:val="000000"/>
          <w:sz w:val="28"/>
        </w:rPr>
        <w:t xml:space="preserve"> Закона о страховой деятельности и </w:t>
      </w:r>
      <w:r>
        <w:rPr>
          <w:rFonts w:ascii="Times New Roman"/>
          <w:b w:val="false"/>
          <w:i w:val="false"/>
          <w:color w:val="000000"/>
          <w:sz w:val="28"/>
        </w:rPr>
        <w:t>статьей 72-1</w:t>
      </w:r>
      <w:r>
        <w:rPr>
          <w:rFonts w:ascii="Times New Roman"/>
          <w:b w:val="false"/>
          <w:i w:val="false"/>
          <w:color w:val="000000"/>
          <w:sz w:val="28"/>
        </w:rPr>
        <w:t xml:space="preserve"> Закона о рынке ценных бумаг.</w:t>
      </w:r>
    </w:p>
    <w:bookmarkEnd w:id="53"/>
    <w:bookmarkStart w:name="z73" w:id="54"/>
    <w:p>
      <w:pPr>
        <w:spacing w:after="0"/>
        <w:ind w:left="0"/>
        <w:jc w:val="both"/>
      </w:pPr>
      <w:r>
        <w:rPr>
          <w:rFonts w:ascii="Times New Roman"/>
          <w:b w:val="false"/>
          <w:i w:val="false"/>
          <w:color w:val="000000"/>
          <w:sz w:val="28"/>
        </w:rPr>
        <w:t>
      Операция по удалению записи о доверительном управляющем с лицевого счета держателя ценных бумаг, являющегося собственником акций финансовой организации, переданных в доверительное управление, проводится номинальным держателем на основании приказа доверительного управляющего об удалении записи о доверительном управляющем с лицевого счета данного держателя ценных бумаг.</w:t>
      </w:r>
    </w:p>
    <w:bookmarkEnd w:id="54"/>
    <w:bookmarkStart w:name="z74" w:id="55"/>
    <w:p>
      <w:pPr>
        <w:spacing w:after="0"/>
        <w:ind w:left="0"/>
        <w:jc w:val="both"/>
      </w:pPr>
      <w:r>
        <w:rPr>
          <w:rFonts w:ascii="Times New Roman"/>
          <w:b w:val="false"/>
          <w:i w:val="false"/>
          <w:color w:val="000000"/>
          <w:sz w:val="28"/>
        </w:rPr>
        <w:t>
      Операции по внесению (удалению) записи о доверительном управляющем на (с) лицевой счет (лицевого счета) держателя ценных бумаг, проведенные в системе учета номинального держания, отражаются в системе учета центрального депозитария на основании приказа номинального держателя в течение одного рабочего дня с даты проведения данной операции.";</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bookmarkStart w:name="z76" w:id="56"/>
    <w:p>
      <w:pPr>
        <w:spacing w:after="0"/>
        <w:ind w:left="0"/>
        <w:jc w:val="both"/>
      </w:pPr>
      <w:r>
        <w:rPr>
          <w:rFonts w:ascii="Times New Roman"/>
          <w:b w:val="false"/>
          <w:i w:val="false"/>
          <w:color w:val="000000"/>
          <w:sz w:val="28"/>
        </w:rPr>
        <w:t>
      "48. Проведение информационной операции осуществляется номинальным держателем на основании письменных распоряжений (приказов) держателя ценных бумаг, запросов центрального депозитария и (или) государственных органов в случаях, предусмотренных законодательством Республики Казахстан о рынке ценных бумаг.</w:t>
      </w:r>
    </w:p>
    <w:bookmarkEnd w:id="56"/>
    <w:bookmarkStart w:name="z77" w:id="57"/>
    <w:p>
      <w:pPr>
        <w:spacing w:after="0"/>
        <w:ind w:left="0"/>
        <w:jc w:val="both"/>
      </w:pPr>
      <w:r>
        <w:rPr>
          <w:rFonts w:ascii="Times New Roman"/>
          <w:b w:val="false"/>
          <w:i w:val="false"/>
          <w:color w:val="000000"/>
          <w:sz w:val="28"/>
        </w:rPr>
        <w:t>
      В случае обращения клиента номинального держателя за получением электронных услуг и в случаях, предусмотренных внутренними документами номинального держателя, распоряжение (приказ) держателя ценных бумаг составляется и передается в форме электронного документа или иной электронно-цифровой форме, удостоверенной посредством динамической и (или) биометрической идентификации клиента, с использованием информационных систем.";</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79" w:id="58"/>
    <w:p>
      <w:pPr>
        <w:spacing w:after="0"/>
        <w:ind w:left="0"/>
        <w:jc w:val="both"/>
      </w:pPr>
      <w:r>
        <w:rPr>
          <w:rFonts w:ascii="Times New Roman"/>
          <w:b w:val="false"/>
          <w:i w:val="false"/>
          <w:color w:val="000000"/>
          <w:sz w:val="28"/>
        </w:rPr>
        <w:t>
      "51. Информационная операция проводится номинальным держателем в течение трех календарных дней с момента регистрации письменных распоряжений (приказов) держателя ценных бумаг, запросов центрального депозитария и (или) государственных органов, за исключением случаев, установленных пунктами 53 и 53-1 Правил.";</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изложить в следующей редакции:</w:t>
      </w:r>
    </w:p>
    <w:bookmarkStart w:name="z81" w:id="59"/>
    <w:p>
      <w:pPr>
        <w:spacing w:after="0"/>
        <w:ind w:left="0"/>
        <w:jc w:val="both"/>
      </w:pPr>
      <w:r>
        <w:rPr>
          <w:rFonts w:ascii="Times New Roman"/>
          <w:b w:val="false"/>
          <w:i w:val="false"/>
          <w:color w:val="000000"/>
          <w:sz w:val="28"/>
        </w:rPr>
        <w:t>
      "53. Номинальный держатель, являющийся резидентом Республики Казахстан, на лицевых счетах которого учитываются ценные бумаги (права требования по обязательствам эмитента по эмиссионным ценным бумагам), принадлежащие собственникам, в течение двадцати четырех часов с момента получения запроса от уполномоченного органа, центрального депозитария или эмитента, представляет запросившему лицу соответствующие сведения.</w:t>
      </w:r>
    </w:p>
    <w:bookmarkEnd w:id="59"/>
    <w:bookmarkStart w:name="z82" w:id="60"/>
    <w:p>
      <w:pPr>
        <w:spacing w:after="0"/>
        <w:ind w:left="0"/>
        <w:jc w:val="both"/>
      </w:pPr>
      <w:r>
        <w:rPr>
          <w:rFonts w:ascii="Times New Roman"/>
          <w:b w:val="false"/>
          <w:i w:val="false"/>
          <w:color w:val="000000"/>
          <w:sz w:val="28"/>
        </w:rPr>
        <w:t>
      Депоненты, у которых для учета ценных бумаг открыты лицевые счета номинальным держателям, являющимся нерезидентами Республики Казахстан, представляют информацию, необходимую для составления списка акционеров, участвующих в проведении общего собрания акционеров, в течение срока, указанного в запросе, полученном от центрального депозитария, но не более 15 (пятнадцати) рабочих дней с даты получения запроса центрального депозитария.</w:t>
      </w:r>
    </w:p>
    <w:bookmarkEnd w:id="60"/>
    <w:bookmarkStart w:name="z83" w:id="61"/>
    <w:p>
      <w:pPr>
        <w:spacing w:after="0"/>
        <w:ind w:left="0"/>
        <w:jc w:val="both"/>
      </w:pPr>
      <w:r>
        <w:rPr>
          <w:rFonts w:ascii="Times New Roman"/>
          <w:b w:val="false"/>
          <w:i w:val="false"/>
          <w:color w:val="000000"/>
          <w:sz w:val="28"/>
        </w:rPr>
        <w:t>
      Положения настоящего пункта не распространяются на случаи, установленные пунктом 53-1 Правил.";</w:t>
      </w:r>
    </w:p>
    <w:bookmarkEnd w:id="61"/>
    <w:bookmarkStart w:name="z84" w:id="62"/>
    <w:p>
      <w:pPr>
        <w:spacing w:after="0"/>
        <w:ind w:left="0"/>
        <w:jc w:val="both"/>
      </w:pPr>
      <w:r>
        <w:rPr>
          <w:rFonts w:ascii="Times New Roman"/>
          <w:b w:val="false"/>
          <w:i w:val="false"/>
          <w:color w:val="000000"/>
          <w:sz w:val="28"/>
        </w:rPr>
        <w:t>
      дополнить пунктом 53-1 следующего содержания:</w:t>
      </w:r>
    </w:p>
    <w:bookmarkEnd w:id="62"/>
    <w:bookmarkStart w:name="z85" w:id="63"/>
    <w:p>
      <w:pPr>
        <w:spacing w:after="0"/>
        <w:ind w:left="0"/>
        <w:jc w:val="both"/>
      </w:pPr>
      <w:r>
        <w:rPr>
          <w:rFonts w:ascii="Times New Roman"/>
          <w:b w:val="false"/>
          <w:i w:val="false"/>
          <w:color w:val="000000"/>
          <w:sz w:val="28"/>
        </w:rPr>
        <w:t>
      "53-1. Центральный депозитарий не позднее рабочего дня, следующего за днем получения запроса от эмитента или уполномоченного органа на получение списка акционеров с указанием их конечных собственников, направляет запрос на предоставление требуемой к раскрытию информации:</w:t>
      </w:r>
    </w:p>
    <w:bookmarkEnd w:id="63"/>
    <w:bookmarkStart w:name="z86" w:id="64"/>
    <w:p>
      <w:pPr>
        <w:spacing w:after="0"/>
        <w:ind w:left="0"/>
        <w:jc w:val="both"/>
      </w:pPr>
      <w:r>
        <w:rPr>
          <w:rFonts w:ascii="Times New Roman"/>
          <w:b w:val="false"/>
          <w:i w:val="false"/>
          <w:color w:val="000000"/>
          <w:sz w:val="28"/>
        </w:rPr>
        <w:t xml:space="preserve">
      владельцам лицевых счетов, открытых в системе реестров держателей ценных бумаг; </w:t>
      </w:r>
    </w:p>
    <w:bookmarkEnd w:id="64"/>
    <w:bookmarkStart w:name="z87" w:id="65"/>
    <w:p>
      <w:pPr>
        <w:spacing w:after="0"/>
        <w:ind w:left="0"/>
        <w:jc w:val="both"/>
      </w:pPr>
      <w:r>
        <w:rPr>
          <w:rFonts w:ascii="Times New Roman"/>
          <w:b w:val="false"/>
          <w:i w:val="false"/>
          <w:color w:val="000000"/>
          <w:sz w:val="28"/>
        </w:rPr>
        <w:t>
      депонентам (включая организацию, осуществляющую регистрацию сделок с ценными бумагами на территории Международного финансового центра "Астана"), у которых для учета ценных бумаг эмитента открыты лицевые счета клиентам.</w:t>
      </w:r>
    </w:p>
    <w:bookmarkEnd w:id="65"/>
    <w:bookmarkStart w:name="z88" w:id="66"/>
    <w:p>
      <w:pPr>
        <w:spacing w:after="0"/>
        <w:ind w:left="0"/>
        <w:jc w:val="both"/>
      </w:pPr>
      <w:r>
        <w:rPr>
          <w:rFonts w:ascii="Times New Roman"/>
          <w:b w:val="false"/>
          <w:i w:val="false"/>
          <w:color w:val="000000"/>
          <w:sz w:val="28"/>
        </w:rPr>
        <w:t xml:space="preserve">
      Лица, указанные в абзацах втором и третьем части первой настоящего пункта, не позднее 12 (двенадцати) рабочих дней со дня получения запроса центрального депозитария, указанного в части первой настоящего пункта, предоставляют центральному депозитарию информацию, указанную к предоставлению в запросе центрального депозитария. </w:t>
      </w:r>
    </w:p>
    <w:bookmarkEnd w:id="66"/>
    <w:bookmarkStart w:name="z89" w:id="67"/>
    <w:p>
      <w:pPr>
        <w:spacing w:after="0"/>
        <w:ind w:left="0"/>
        <w:jc w:val="both"/>
      </w:pPr>
      <w:r>
        <w:rPr>
          <w:rFonts w:ascii="Times New Roman"/>
          <w:b w:val="false"/>
          <w:i w:val="false"/>
          <w:color w:val="000000"/>
          <w:sz w:val="28"/>
        </w:rPr>
        <w:t xml:space="preserve">
      В целях предоставления информации по запросу центрального депозитария, указанному в части первой настоящего пункта, депоненты (включая организацию, осуществляющую регистрацию сделок с ценными бумагами на территории Международного финансового центра "Астана") не позднее рабочего дня, следующего за днем получения запроса центрального депозитария, перенаправляют данный запрос следующим лицам: </w:t>
      </w:r>
    </w:p>
    <w:bookmarkEnd w:id="67"/>
    <w:bookmarkStart w:name="z90" w:id="68"/>
    <w:p>
      <w:pPr>
        <w:spacing w:after="0"/>
        <w:ind w:left="0"/>
        <w:jc w:val="both"/>
      </w:pPr>
      <w:r>
        <w:rPr>
          <w:rFonts w:ascii="Times New Roman"/>
          <w:b w:val="false"/>
          <w:i w:val="false"/>
          <w:color w:val="000000"/>
          <w:sz w:val="28"/>
        </w:rPr>
        <w:t>
      своим клиентам, являющимся собственниками ценных бумаг эмитента;</w:t>
      </w:r>
    </w:p>
    <w:bookmarkEnd w:id="68"/>
    <w:bookmarkStart w:name="z91" w:id="69"/>
    <w:p>
      <w:pPr>
        <w:spacing w:after="0"/>
        <w:ind w:left="0"/>
        <w:jc w:val="both"/>
      </w:pPr>
      <w:r>
        <w:rPr>
          <w:rFonts w:ascii="Times New Roman"/>
          <w:b w:val="false"/>
          <w:i w:val="false"/>
          <w:color w:val="000000"/>
          <w:sz w:val="28"/>
        </w:rPr>
        <w:t>
      своим клиентам, являющимся номинальными держателями, на лицевых счетах которых учитываются ценные бумаги эмитента, с целью последующего перенаправления запроса центрального депозитария клиентам, являющимся собственниками ценных бумаг эмитента.</w:t>
      </w:r>
    </w:p>
    <w:bookmarkEnd w:id="69"/>
    <w:bookmarkStart w:name="z92" w:id="70"/>
    <w:p>
      <w:pPr>
        <w:spacing w:after="0"/>
        <w:ind w:left="0"/>
        <w:jc w:val="both"/>
      </w:pPr>
      <w:r>
        <w:rPr>
          <w:rFonts w:ascii="Times New Roman"/>
          <w:b w:val="false"/>
          <w:i w:val="false"/>
          <w:color w:val="000000"/>
          <w:sz w:val="28"/>
        </w:rPr>
        <w:t>
      Клиенты депонентов (включая организацию, осуществляющую регистрацию сделок с ценными бумагами на территории Международного финансового центра "Астана"), являющиеся собственниками ценных бумаг эмитента, представляют депонентам (включая организацию, осуществляющую регистрацию сделок с ценными бумагами на территории Международного финансового центра "Астана") запрошенную информацию.</w:t>
      </w:r>
    </w:p>
    <w:bookmarkEnd w:id="70"/>
    <w:bookmarkStart w:name="z93" w:id="71"/>
    <w:p>
      <w:pPr>
        <w:spacing w:after="0"/>
        <w:ind w:left="0"/>
        <w:jc w:val="both"/>
      </w:pPr>
      <w:r>
        <w:rPr>
          <w:rFonts w:ascii="Times New Roman"/>
          <w:b w:val="false"/>
          <w:i w:val="false"/>
          <w:color w:val="000000"/>
          <w:sz w:val="28"/>
        </w:rPr>
        <w:t>
      Клиенты номинальных держателей, являющиеся собственниками ценных бумаг эмитента, представляют номинальным держателям информацию, указанную к предоставлению в запросе центрального депозитария. Номинальные держатели перенаправляют информацию, необходимую для составления списка конечных собственников, полученную от своих клиентов, являющихся собственниками ценных бумаг эмитента, депонентам (включая организацию, осуществляющую регистрацию сделок с ценными бумагами на территории Международного финансового центра "Астана").</w:t>
      </w:r>
    </w:p>
    <w:bookmarkEnd w:id="71"/>
    <w:bookmarkStart w:name="z94" w:id="72"/>
    <w:p>
      <w:pPr>
        <w:spacing w:after="0"/>
        <w:ind w:left="0"/>
        <w:jc w:val="both"/>
      </w:pPr>
      <w:r>
        <w:rPr>
          <w:rFonts w:ascii="Times New Roman"/>
          <w:b w:val="false"/>
          <w:i w:val="false"/>
          <w:color w:val="000000"/>
          <w:sz w:val="28"/>
        </w:rPr>
        <w:t>
      Информация, предоставляемая по запросу центрального депозитария, указанному в части первой настоящего пункта, содержит:</w:t>
      </w:r>
    </w:p>
    <w:bookmarkEnd w:id="72"/>
    <w:bookmarkStart w:name="z95" w:id="73"/>
    <w:p>
      <w:pPr>
        <w:spacing w:after="0"/>
        <w:ind w:left="0"/>
        <w:jc w:val="both"/>
      </w:pPr>
      <w:r>
        <w:rPr>
          <w:rFonts w:ascii="Times New Roman"/>
          <w:b w:val="false"/>
          <w:i w:val="false"/>
          <w:color w:val="000000"/>
          <w:sz w:val="28"/>
        </w:rPr>
        <w:t>
      при предоставлении информации собственником ценных бумаг эмитента – сведения о конечных собственниках;</w:t>
      </w:r>
    </w:p>
    <w:bookmarkEnd w:id="73"/>
    <w:bookmarkStart w:name="z96" w:id="74"/>
    <w:p>
      <w:pPr>
        <w:spacing w:after="0"/>
        <w:ind w:left="0"/>
        <w:jc w:val="both"/>
      </w:pPr>
      <w:r>
        <w:rPr>
          <w:rFonts w:ascii="Times New Roman"/>
          <w:b w:val="false"/>
          <w:i w:val="false"/>
          <w:color w:val="000000"/>
          <w:sz w:val="28"/>
        </w:rPr>
        <w:t>
      при предоставлении информации депонентами и (или) номинальными держателями, являющимися клиентами депонентов, – список собственников ценных бумаг эмитента с указанием сведений об их конечных собственниках.";</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56</w:t>
      </w:r>
      <w:r>
        <w:rPr>
          <w:rFonts w:ascii="Times New Roman"/>
          <w:b w:val="false"/>
          <w:i w:val="false"/>
          <w:color w:val="000000"/>
          <w:sz w:val="28"/>
        </w:rPr>
        <w:t xml:space="preserve"> изложить в следующей редакции:</w:t>
      </w:r>
    </w:p>
    <w:bookmarkStart w:name="z98" w:id="75"/>
    <w:p>
      <w:pPr>
        <w:spacing w:after="0"/>
        <w:ind w:left="0"/>
        <w:jc w:val="both"/>
      </w:pPr>
      <w:r>
        <w:rPr>
          <w:rFonts w:ascii="Times New Roman"/>
          <w:b w:val="false"/>
          <w:i w:val="false"/>
          <w:color w:val="000000"/>
          <w:sz w:val="28"/>
        </w:rPr>
        <w:t xml:space="preserve">
      "56. Список акционеров составляется по форме,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Правилам и содержит информацию о собственниках, чьи акции находятся в номинальном держании с указанием количества принадлежащих им акций, сведения о наличии льгот по налогообложению, предоставленных акционеру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а также информацию о количестве акций, принадлежащих собственникам, сведения о которых отсутствуют в системе учета центрального депозитария.</w:t>
      </w:r>
    </w:p>
    <w:bookmarkEnd w:id="75"/>
    <w:bookmarkStart w:name="z99" w:id="76"/>
    <w:p>
      <w:pPr>
        <w:spacing w:after="0"/>
        <w:ind w:left="0"/>
        <w:jc w:val="both"/>
      </w:pPr>
      <w:r>
        <w:rPr>
          <w:rFonts w:ascii="Times New Roman"/>
          <w:b w:val="false"/>
          <w:i w:val="false"/>
          <w:color w:val="000000"/>
          <w:sz w:val="28"/>
        </w:rPr>
        <w:t>
      Список акционеров подписывается руководителем структурного подразделения номинального держателя, осуществляющего учет ценных бумаг, переданных в номинальное держание, в соответствии с внутренним документом номинального держателя.</w:t>
      </w:r>
    </w:p>
    <w:bookmarkEnd w:id="76"/>
    <w:bookmarkStart w:name="z100" w:id="77"/>
    <w:p>
      <w:pPr>
        <w:spacing w:after="0"/>
        <w:ind w:left="0"/>
        <w:jc w:val="both"/>
      </w:pPr>
      <w:r>
        <w:rPr>
          <w:rFonts w:ascii="Times New Roman"/>
          <w:b w:val="false"/>
          <w:i w:val="false"/>
          <w:color w:val="000000"/>
          <w:sz w:val="28"/>
        </w:rPr>
        <w:t>
      Составление списка акционеров допускается также в форме электронного документа с использованием информационных систем в соответствии с законодательством Республики Казахстан об электронном документе и электронной цифровой подписи.".</w:t>
      </w:r>
    </w:p>
    <w:bookmarkEnd w:id="77"/>
    <w:bookmarkStart w:name="z101" w:id="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текст в правом верхнем углу изложить в следующей редакции:</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регистрации сделок</w:t>
            </w:r>
            <w:r>
              <w:br/>
            </w:r>
            <w:r>
              <w:rPr>
                <w:rFonts w:ascii="Times New Roman"/>
                <w:b w:val="false"/>
                <w:i w:val="false"/>
                <w:color w:val="000000"/>
                <w:sz w:val="20"/>
              </w:rPr>
              <w:t>с эмиссионными ценными</w:t>
            </w:r>
            <w:r>
              <w:br/>
            </w:r>
            <w:r>
              <w:rPr>
                <w:rFonts w:ascii="Times New Roman"/>
                <w:b w:val="false"/>
                <w:i w:val="false"/>
                <w:color w:val="000000"/>
                <w:sz w:val="20"/>
              </w:rPr>
              <w:t>бумагами, уступки прав</w:t>
            </w:r>
            <w:r>
              <w:br/>
            </w:r>
            <w:r>
              <w:rPr>
                <w:rFonts w:ascii="Times New Roman"/>
                <w:b w:val="false"/>
                <w:i w:val="false"/>
                <w:color w:val="000000"/>
                <w:sz w:val="20"/>
              </w:rPr>
              <w:t>требования по обязательствам</w:t>
            </w:r>
            <w:r>
              <w:br/>
            </w:r>
            <w:r>
              <w:rPr>
                <w:rFonts w:ascii="Times New Roman"/>
                <w:b w:val="false"/>
                <w:i w:val="false"/>
                <w:color w:val="000000"/>
                <w:sz w:val="20"/>
              </w:rPr>
              <w:t>эмитентов по эмиссионным</w:t>
            </w:r>
            <w:r>
              <w:br/>
            </w:r>
            <w:r>
              <w:rPr>
                <w:rFonts w:ascii="Times New Roman"/>
                <w:b w:val="false"/>
                <w:i w:val="false"/>
                <w:color w:val="000000"/>
                <w:sz w:val="20"/>
              </w:rPr>
              <w:t>ценным бумагам в системе учета</w:t>
            </w:r>
            <w:r>
              <w:br/>
            </w:r>
            <w:r>
              <w:rPr>
                <w:rFonts w:ascii="Times New Roman"/>
                <w:b w:val="false"/>
                <w:i w:val="false"/>
                <w:color w:val="000000"/>
                <w:sz w:val="20"/>
              </w:rPr>
              <w:t>номинального держания</w:t>
            </w:r>
            <w:r>
              <w:br/>
            </w:r>
            <w:r>
              <w:rPr>
                <w:rFonts w:ascii="Times New Roman"/>
                <w:b w:val="false"/>
                <w:i w:val="false"/>
                <w:color w:val="000000"/>
                <w:sz w:val="20"/>
              </w:rPr>
              <w:t>и системе реестров держателей</w:t>
            </w:r>
            <w:r>
              <w:br/>
            </w:r>
            <w:r>
              <w:rPr>
                <w:rFonts w:ascii="Times New Roman"/>
                <w:b w:val="false"/>
                <w:i w:val="false"/>
                <w:color w:val="000000"/>
                <w:sz w:val="20"/>
              </w:rPr>
              <w:t>ценных бумаг,</w:t>
            </w:r>
            <w:r>
              <w:br/>
            </w:r>
            <w:r>
              <w:rPr>
                <w:rFonts w:ascii="Times New Roman"/>
                <w:b w:val="false"/>
                <w:i w:val="false"/>
                <w:color w:val="000000"/>
                <w:sz w:val="20"/>
              </w:rPr>
              <w:t>предоставления выписки</w:t>
            </w:r>
            <w:r>
              <w:br/>
            </w:r>
            <w:r>
              <w:rPr>
                <w:rFonts w:ascii="Times New Roman"/>
                <w:b w:val="false"/>
                <w:i w:val="false"/>
                <w:color w:val="000000"/>
                <w:sz w:val="20"/>
              </w:rPr>
              <w:t>с лицевого счета</w:t>
            </w:r>
            <w:r>
              <w:br/>
            </w:r>
            <w:r>
              <w:rPr>
                <w:rFonts w:ascii="Times New Roman"/>
                <w:b w:val="false"/>
                <w:i w:val="false"/>
                <w:color w:val="000000"/>
                <w:sz w:val="20"/>
              </w:rPr>
              <w:t>зарегистрированного лица</w:t>
            </w:r>
            <w:r>
              <w:br/>
            </w:r>
            <w:r>
              <w:rPr>
                <w:rFonts w:ascii="Times New Roman"/>
                <w:b w:val="false"/>
                <w:i w:val="false"/>
                <w:color w:val="000000"/>
                <w:sz w:val="20"/>
              </w:rPr>
              <w:t>в системе учета</w:t>
            </w:r>
            <w:r>
              <w:br/>
            </w:r>
            <w:r>
              <w:rPr>
                <w:rFonts w:ascii="Times New Roman"/>
                <w:b w:val="false"/>
                <w:i w:val="false"/>
                <w:color w:val="000000"/>
                <w:sz w:val="20"/>
              </w:rPr>
              <w:t>центрального депозитария</w:t>
            </w:r>
            <w:r>
              <w:br/>
            </w:r>
            <w:r>
              <w:rPr>
                <w:rFonts w:ascii="Times New Roman"/>
                <w:b w:val="false"/>
                <w:i w:val="false"/>
                <w:color w:val="000000"/>
                <w:sz w:val="20"/>
              </w:rPr>
              <w:t>и (или) в системе учета</w:t>
            </w:r>
            <w:r>
              <w:br/>
            </w:r>
            <w:r>
              <w:rPr>
                <w:rFonts w:ascii="Times New Roman"/>
                <w:b w:val="false"/>
                <w:i w:val="false"/>
                <w:color w:val="000000"/>
                <w:sz w:val="20"/>
              </w:rPr>
              <w:t>номинального держания</w:t>
            </w:r>
            <w:r>
              <w:br/>
            </w:r>
            <w:r>
              <w:rPr>
                <w:rFonts w:ascii="Times New Roman"/>
                <w:b w:val="false"/>
                <w:i w:val="false"/>
                <w:color w:val="000000"/>
                <w:sz w:val="20"/>
              </w:rPr>
              <w:t>и предоставления</w:t>
            </w:r>
            <w:r>
              <w:br/>
            </w:r>
            <w:r>
              <w:rPr>
                <w:rFonts w:ascii="Times New Roman"/>
                <w:b w:val="false"/>
                <w:i w:val="false"/>
                <w:color w:val="000000"/>
                <w:sz w:val="20"/>
              </w:rPr>
              <w:t>номинальным держателем</w:t>
            </w:r>
            <w:r>
              <w:br/>
            </w:r>
            <w:r>
              <w:rPr>
                <w:rFonts w:ascii="Times New Roman"/>
                <w:b w:val="false"/>
                <w:i w:val="false"/>
                <w:color w:val="000000"/>
                <w:sz w:val="20"/>
              </w:rPr>
              <w:t>информации о клиентах, ценные</w:t>
            </w:r>
            <w:r>
              <w:br/>
            </w:r>
            <w:r>
              <w:rPr>
                <w:rFonts w:ascii="Times New Roman"/>
                <w:b w:val="false"/>
                <w:i w:val="false"/>
                <w:color w:val="000000"/>
                <w:sz w:val="20"/>
              </w:rPr>
              <w:t>бумаги которых находятся в его</w:t>
            </w:r>
            <w:r>
              <w:br/>
            </w:r>
            <w:r>
              <w:rPr>
                <w:rFonts w:ascii="Times New Roman"/>
                <w:b w:val="false"/>
                <w:i w:val="false"/>
                <w:color w:val="000000"/>
                <w:sz w:val="20"/>
              </w:rPr>
              <w:t>номинальном держании,</w:t>
            </w:r>
            <w:r>
              <w:br/>
            </w:r>
            <w:r>
              <w:rPr>
                <w:rFonts w:ascii="Times New Roman"/>
                <w:b w:val="false"/>
                <w:i w:val="false"/>
                <w:color w:val="000000"/>
                <w:sz w:val="20"/>
              </w:rPr>
              <w:t>по требованию центрального</w:t>
            </w:r>
            <w:r>
              <w:br/>
            </w:r>
            <w:r>
              <w:rPr>
                <w:rFonts w:ascii="Times New Roman"/>
                <w:b w:val="false"/>
                <w:i w:val="false"/>
                <w:color w:val="000000"/>
                <w:sz w:val="20"/>
              </w:rPr>
              <w:t>депозитария и эмитента";</w:t>
            </w:r>
          </w:p>
        </w:tc>
      </w:tr>
    </w:tbl>
    <w:bookmarkStart w:name="z103" w:id="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текст в правом верхнем углу изложить в следующей редакции:</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регистрации сделок</w:t>
            </w:r>
            <w:r>
              <w:br/>
            </w:r>
            <w:r>
              <w:rPr>
                <w:rFonts w:ascii="Times New Roman"/>
                <w:b w:val="false"/>
                <w:i w:val="false"/>
                <w:color w:val="000000"/>
                <w:sz w:val="20"/>
              </w:rPr>
              <w:t>с эмиссионными ценными</w:t>
            </w:r>
            <w:r>
              <w:br/>
            </w:r>
            <w:r>
              <w:rPr>
                <w:rFonts w:ascii="Times New Roman"/>
                <w:b w:val="false"/>
                <w:i w:val="false"/>
                <w:color w:val="000000"/>
                <w:sz w:val="20"/>
              </w:rPr>
              <w:t>бумагами, уступки прав</w:t>
            </w:r>
            <w:r>
              <w:br/>
            </w:r>
            <w:r>
              <w:rPr>
                <w:rFonts w:ascii="Times New Roman"/>
                <w:b w:val="false"/>
                <w:i w:val="false"/>
                <w:color w:val="000000"/>
                <w:sz w:val="20"/>
              </w:rPr>
              <w:t>требования по обязательствам</w:t>
            </w:r>
            <w:r>
              <w:br/>
            </w:r>
            <w:r>
              <w:rPr>
                <w:rFonts w:ascii="Times New Roman"/>
                <w:b w:val="false"/>
                <w:i w:val="false"/>
                <w:color w:val="000000"/>
                <w:sz w:val="20"/>
              </w:rPr>
              <w:t>эмитентов по эмиссионным</w:t>
            </w:r>
            <w:r>
              <w:br/>
            </w:r>
            <w:r>
              <w:rPr>
                <w:rFonts w:ascii="Times New Roman"/>
                <w:b w:val="false"/>
                <w:i w:val="false"/>
                <w:color w:val="000000"/>
                <w:sz w:val="20"/>
              </w:rPr>
              <w:t>ценным бумагам в системе учета</w:t>
            </w:r>
            <w:r>
              <w:br/>
            </w:r>
            <w:r>
              <w:rPr>
                <w:rFonts w:ascii="Times New Roman"/>
                <w:b w:val="false"/>
                <w:i w:val="false"/>
                <w:color w:val="000000"/>
                <w:sz w:val="20"/>
              </w:rPr>
              <w:t>номинального держания</w:t>
            </w:r>
            <w:r>
              <w:br/>
            </w:r>
            <w:r>
              <w:rPr>
                <w:rFonts w:ascii="Times New Roman"/>
                <w:b w:val="false"/>
                <w:i w:val="false"/>
                <w:color w:val="000000"/>
                <w:sz w:val="20"/>
              </w:rPr>
              <w:t>и системе реестров держателей</w:t>
            </w:r>
            <w:r>
              <w:br/>
            </w:r>
            <w:r>
              <w:rPr>
                <w:rFonts w:ascii="Times New Roman"/>
                <w:b w:val="false"/>
                <w:i w:val="false"/>
                <w:color w:val="000000"/>
                <w:sz w:val="20"/>
              </w:rPr>
              <w:t>ценных бумаг,</w:t>
            </w:r>
            <w:r>
              <w:br/>
            </w:r>
            <w:r>
              <w:rPr>
                <w:rFonts w:ascii="Times New Roman"/>
                <w:b w:val="false"/>
                <w:i w:val="false"/>
                <w:color w:val="000000"/>
                <w:sz w:val="20"/>
              </w:rPr>
              <w:t>предоставления выписки</w:t>
            </w:r>
            <w:r>
              <w:br/>
            </w:r>
            <w:r>
              <w:rPr>
                <w:rFonts w:ascii="Times New Roman"/>
                <w:b w:val="false"/>
                <w:i w:val="false"/>
                <w:color w:val="000000"/>
                <w:sz w:val="20"/>
              </w:rPr>
              <w:t>с лицевого счета</w:t>
            </w:r>
            <w:r>
              <w:br/>
            </w:r>
            <w:r>
              <w:rPr>
                <w:rFonts w:ascii="Times New Roman"/>
                <w:b w:val="false"/>
                <w:i w:val="false"/>
                <w:color w:val="000000"/>
                <w:sz w:val="20"/>
              </w:rPr>
              <w:t>зарегистрированного лица</w:t>
            </w:r>
            <w:r>
              <w:br/>
            </w:r>
            <w:r>
              <w:rPr>
                <w:rFonts w:ascii="Times New Roman"/>
                <w:b w:val="false"/>
                <w:i w:val="false"/>
                <w:color w:val="000000"/>
                <w:sz w:val="20"/>
              </w:rPr>
              <w:t>в системе учета</w:t>
            </w:r>
            <w:r>
              <w:br/>
            </w:r>
            <w:r>
              <w:rPr>
                <w:rFonts w:ascii="Times New Roman"/>
                <w:b w:val="false"/>
                <w:i w:val="false"/>
                <w:color w:val="000000"/>
                <w:sz w:val="20"/>
              </w:rPr>
              <w:t>центрального депозитария</w:t>
            </w:r>
            <w:r>
              <w:br/>
            </w:r>
            <w:r>
              <w:rPr>
                <w:rFonts w:ascii="Times New Roman"/>
                <w:b w:val="false"/>
                <w:i w:val="false"/>
                <w:color w:val="000000"/>
                <w:sz w:val="20"/>
              </w:rPr>
              <w:t>и (или) в системе учета</w:t>
            </w:r>
            <w:r>
              <w:br/>
            </w:r>
            <w:r>
              <w:rPr>
                <w:rFonts w:ascii="Times New Roman"/>
                <w:b w:val="false"/>
                <w:i w:val="false"/>
                <w:color w:val="000000"/>
                <w:sz w:val="20"/>
              </w:rPr>
              <w:t>номинального держания</w:t>
            </w:r>
            <w:r>
              <w:br/>
            </w:r>
            <w:r>
              <w:rPr>
                <w:rFonts w:ascii="Times New Roman"/>
                <w:b w:val="false"/>
                <w:i w:val="false"/>
                <w:color w:val="000000"/>
                <w:sz w:val="20"/>
              </w:rPr>
              <w:t>и предоставления</w:t>
            </w:r>
            <w:r>
              <w:br/>
            </w:r>
            <w:r>
              <w:rPr>
                <w:rFonts w:ascii="Times New Roman"/>
                <w:b w:val="false"/>
                <w:i w:val="false"/>
                <w:color w:val="000000"/>
                <w:sz w:val="20"/>
              </w:rPr>
              <w:t>номинальным держателем</w:t>
            </w:r>
            <w:r>
              <w:br/>
            </w:r>
            <w:r>
              <w:rPr>
                <w:rFonts w:ascii="Times New Roman"/>
                <w:b w:val="false"/>
                <w:i w:val="false"/>
                <w:color w:val="000000"/>
                <w:sz w:val="20"/>
              </w:rPr>
              <w:t>информации о клиентах, ценные</w:t>
            </w:r>
            <w:r>
              <w:br/>
            </w:r>
            <w:r>
              <w:rPr>
                <w:rFonts w:ascii="Times New Roman"/>
                <w:b w:val="false"/>
                <w:i w:val="false"/>
                <w:color w:val="000000"/>
                <w:sz w:val="20"/>
              </w:rPr>
              <w:t>бумаги которых находятся в его</w:t>
            </w:r>
            <w:r>
              <w:br/>
            </w:r>
            <w:r>
              <w:rPr>
                <w:rFonts w:ascii="Times New Roman"/>
                <w:b w:val="false"/>
                <w:i w:val="false"/>
                <w:color w:val="000000"/>
                <w:sz w:val="20"/>
              </w:rPr>
              <w:t>номинальном держании,</w:t>
            </w:r>
            <w:r>
              <w:br/>
            </w:r>
            <w:r>
              <w:rPr>
                <w:rFonts w:ascii="Times New Roman"/>
                <w:b w:val="false"/>
                <w:i w:val="false"/>
                <w:color w:val="000000"/>
                <w:sz w:val="20"/>
              </w:rPr>
              <w:t>по требованию центрального</w:t>
            </w:r>
            <w:r>
              <w:br/>
            </w:r>
            <w:r>
              <w:rPr>
                <w:rFonts w:ascii="Times New Roman"/>
                <w:b w:val="false"/>
                <w:i w:val="false"/>
                <w:color w:val="000000"/>
                <w:sz w:val="20"/>
              </w:rPr>
              <w:t>депозитария и эмитента";</w:t>
            </w:r>
          </w:p>
        </w:tc>
      </w:tr>
    </w:tbl>
    <w:bookmarkStart w:name="z105" w:id="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текст в правом верхнем углу изложить в следующей редакции:</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регистрации сделок</w:t>
            </w:r>
            <w:r>
              <w:br/>
            </w:r>
            <w:r>
              <w:rPr>
                <w:rFonts w:ascii="Times New Roman"/>
                <w:b w:val="false"/>
                <w:i w:val="false"/>
                <w:color w:val="000000"/>
                <w:sz w:val="20"/>
              </w:rPr>
              <w:t>с эмиссионными ценными</w:t>
            </w:r>
            <w:r>
              <w:br/>
            </w:r>
            <w:r>
              <w:rPr>
                <w:rFonts w:ascii="Times New Roman"/>
                <w:b w:val="false"/>
                <w:i w:val="false"/>
                <w:color w:val="000000"/>
                <w:sz w:val="20"/>
              </w:rPr>
              <w:t>бумагами, уступки прав</w:t>
            </w:r>
            <w:r>
              <w:br/>
            </w:r>
            <w:r>
              <w:rPr>
                <w:rFonts w:ascii="Times New Roman"/>
                <w:b w:val="false"/>
                <w:i w:val="false"/>
                <w:color w:val="000000"/>
                <w:sz w:val="20"/>
              </w:rPr>
              <w:t>требования по обязательствам</w:t>
            </w:r>
            <w:r>
              <w:br/>
            </w:r>
            <w:r>
              <w:rPr>
                <w:rFonts w:ascii="Times New Roman"/>
                <w:b w:val="false"/>
                <w:i w:val="false"/>
                <w:color w:val="000000"/>
                <w:sz w:val="20"/>
              </w:rPr>
              <w:t>эмитентов по эмиссионным</w:t>
            </w:r>
            <w:r>
              <w:br/>
            </w:r>
            <w:r>
              <w:rPr>
                <w:rFonts w:ascii="Times New Roman"/>
                <w:b w:val="false"/>
                <w:i w:val="false"/>
                <w:color w:val="000000"/>
                <w:sz w:val="20"/>
              </w:rPr>
              <w:t>ценным бумагам в системе учета</w:t>
            </w:r>
            <w:r>
              <w:br/>
            </w:r>
            <w:r>
              <w:rPr>
                <w:rFonts w:ascii="Times New Roman"/>
                <w:b w:val="false"/>
                <w:i w:val="false"/>
                <w:color w:val="000000"/>
                <w:sz w:val="20"/>
              </w:rPr>
              <w:t>номинального держания</w:t>
            </w:r>
            <w:r>
              <w:br/>
            </w:r>
            <w:r>
              <w:rPr>
                <w:rFonts w:ascii="Times New Roman"/>
                <w:b w:val="false"/>
                <w:i w:val="false"/>
                <w:color w:val="000000"/>
                <w:sz w:val="20"/>
              </w:rPr>
              <w:t>и системе реестров держателей</w:t>
            </w:r>
            <w:r>
              <w:br/>
            </w:r>
            <w:r>
              <w:rPr>
                <w:rFonts w:ascii="Times New Roman"/>
                <w:b w:val="false"/>
                <w:i w:val="false"/>
                <w:color w:val="000000"/>
                <w:sz w:val="20"/>
              </w:rPr>
              <w:t>ценных бумаг,</w:t>
            </w:r>
            <w:r>
              <w:br/>
            </w:r>
            <w:r>
              <w:rPr>
                <w:rFonts w:ascii="Times New Roman"/>
                <w:b w:val="false"/>
                <w:i w:val="false"/>
                <w:color w:val="000000"/>
                <w:sz w:val="20"/>
              </w:rPr>
              <w:t>предоставления выписки</w:t>
            </w:r>
            <w:r>
              <w:br/>
            </w:r>
            <w:r>
              <w:rPr>
                <w:rFonts w:ascii="Times New Roman"/>
                <w:b w:val="false"/>
                <w:i w:val="false"/>
                <w:color w:val="000000"/>
                <w:sz w:val="20"/>
              </w:rPr>
              <w:t>с лицевого счета</w:t>
            </w:r>
            <w:r>
              <w:br/>
            </w:r>
            <w:r>
              <w:rPr>
                <w:rFonts w:ascii="Times New Roman"/>
                <w:b w:val="false"/>
                <w:i w:val="false"/>
                <w:color w:val="000000"/>
                <w:sz w:val="20"/>
              </w:rPr>
              <w:t>зарегистрированного лица</w:t>
            </w:r>
            <w:r>
              <w:br/>
            </w:r>
            <w:r>
              <w:rPr>
                <w:rFonts w:ascii="Times New Roman"/>
                <w:b w:val="false"/>
                <w:i w:val="false"/>
                <w:color w:val="000000"/>
                <w:sz w:val="20"/>
              </w:rPr>
              <w:t>в системе учета</w:t>
            </w:r>
            <w:r>
              <w:br/>
            </w:r>
            <w:r>
              <w:rPr>
                <w:rFonts w:ascii="Times New Roman"/>
                <w:b w:val="false"/>
                <w:i w:val="false"/>
                <w:color w:val="000000"/>
                <w:sz w:val="20"/>
              </w:rPr>
              <w:t>центрального депозитария</w:t>
            </w:r>
            <w:r>
              <w:br/>
            </w:r>
            <w:r>
              <w:rPr>
                <w:rFonts w:ascii="Times New Roman"/>
                <w:b w:val="false"/>
                <w:i w:val="false"/>
                <w:color w:val="000000"/>
                <w:sz w:val="20"/>
              </w:rPr>
              <w:t>и (или) в системе учета</w:t>
            </w:r>
            <w:r>
              <w:br/>
            </w:r>
            <w:r>
              <w:rPr>
                <w:rFonts w:ascii="Times New Roman"/>
                <w:b w:val="false"/>
                <w:i w:val="false"/>
                <w:color w:val="000000"/>
                <w:sz w:val="20"/>
              </w:rPr>
              <w:t>номинального держания</w:t>
            </w:r>
            <w:r>
              <w:br/>
            </w:r>
            <w:r>
              <w:rPr>
                <w:rFonts w:ascii="Times New Roman"/>
                <w:b w:val="false"/>
                <w:i w:val="false"/>
                <w:color w:val="000000"/>
                <w:sz w:val="20"/>
              </w:rPr>
              <w:t>и предоставления</w:t>
            </w:r>
            <w:r>
              <w:br/>
            </w:r>
            <w:r>
              <w:rPr>
                <w:rFonts w:ascii="Times New Roman"/>
                <w:b w:val="false"/>
                <w:i w:val="false"/>
                <w:color w:val="000000"/>
                <w:sz w:val="20"/>
              </w:rPr>
              <w:t>номинальным держателем</w:t>
            </w:r>
            <w:r>
              <w:br/>
            </w:r>
            <w:r>
              <w:rPr>
                <w:rFonts w:ascii="Times New Roman"/>
                <w:b w:val="false"/>
                <w:i w:val="false"/>
                <w:color w:val="000000"/>
                <w:sz w:val="20"/>
              </w:rPr>
              <w:t>информации о клиентах, ценные</w:t>
            </w:r>
            <w:r>
              <w:br/>
            </w:r>
            <w:r>
              <w:rPr>
                <w:rFonts w:ascii="Times New Roman"/>
                <w:b w:val="false"/>
                <w:i w:val="false"/>
                <w:color w:val="000000"/>
                <w:sz w:val="20"/>
              </w:rPr>
              <w:t>бумаги которых находятся в его</w:t>
            </w:r>
            <w:r>
              <w:br/>
            </w:r>
            <w:r>
              <w:rPr>
                <w:rFonts w:ascii="Times New Roman"/>
                <w:b w:val="false"/>
                <w:i w:val="false"/>
                <w:color w:val="000000"/>
                <w:sz w:val="20"/>
              </w:rPr>
              <w:t>номинальном держании,</w:t>
            </w:r>
            <w:r>
              <w:br/>
            </w:r>
            <w:r>
              <w:rPr>
                <w:rFonts w:ascii="Times New Roman"/>
                <w:b w:val="false"/>
                <w:i w:val="false"/>
                <w:color w:val="000000"/>
                <w:sz w:val="20"/>
              </w:rPr>
              <w:t>по требованию центрального</w:t>
            </w:r>
            <w:r>
              <w:br/>
            </w:r>
            <w:r>
              <w:rPr>
                <w:rFonts w:ascii="Times New Roman"/>
                <w:b w:val="false"/>
                <w:i w:val="false"/>
                <w:color w:val="000000"/>
                <w:sz w:val="20"/>
              </w:rPr>
              <w:t>депозитария и эмитента";</w:t>
            </w:r>
          </w:p>
        </w:tc>
      </w:tr>
    </w:tbl>
    <w:bookmarkStart w:name="z107" w:id="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текст в правом верхнем углу изложить в следующей редакции:</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регистрации сделок</w:t>
            </w:r>
            <w:r>
              <w:br/>
            </w:r>
            <w:r>
              <w:rPr>
                <w:rFonts w:ascii="Times New Roman"/>
                <w:b w:val="false"/>
                <w:i w:val="false"/>
                <w:color w:val="000000"/>
                <w:sz w:val="20"/>
              </w:rPr>
              <w:t>с эмиссионными ценными</w:t>
            </w:r>
            <w:r>
              <w:br/>
            </w:r>
            <w:r>
              <w:rPr>
                <w:rFonts w:ascii="Times New Roman"/>
                <w:b w:val="false"/>
                <w:i w:val="false"/>
                <w:color w:val="000000"/>
                <w:sz w:val="20"/>
              </w:rPr>
              <w:t>бумагами, уступки прав</w:t>
            </w:r>
            <w:r>
              <w:br/>
            </w:r>
            <w:r>
              <w:rPr>
                <w:rFonts w:ascii="Times New Roman"/>
                <w:b w:val="false"/>
                <w:i w:val="false"/>
                <w:color w:val="000000"/>
                <w:sz w:val="20"/>
              </w:rPr>
              <w:t>требования по обязательствам</w:t>
            </w:r>
            <w:r>
              <w:br/>
            </w:r>
            <w:r>
              <w:rPr>
                <w:rFonts w:ascii="Times New Roman"/>
                <w:b w:val="false"/>
                <w:i w:val="false"/>
                <w:color w:val="000000"/>
                <w:sz w:val="20"/>
              </w:rPr>
              <w:t>эмитентов по эмиссионным</w:t>
            </w:r>
            <w:r>
              <w:br/>
            </w:r>
            <w:r>
              <w:rPr>
                <w:rFonts w:ascii="Times New Roman"/>
                <w:b w:val="false"/>
                <w:i w:val="false"/>
                <w:color w:val="000000"/>
                <w:sz w:val="20"/>
              </w:rPr>
              <w:t>ценным бумагам в системе учета</w:t>
            </w:r>
            <w:r>
              <w:br/>
            </w:r>
            <w:r>
              <w:rPr>
                <w:rFonts w:ascii="Times New Roman"/>
                <w:b w:val="false"/>
                <w:i w:val="false"/>
                <w:color w:val="000000"/>
                <w:sz w:val="20"/>
              </w:rPr>
              <w:t>номинального держания</w:t>
            </w:r>
            <w:r>
              <w:br/>
            </w:r>
            <w:r>
              <w:rPr>
                <w:rFonts w:ascii="Times New Roman"/>
                <w:b w:val="false"/>
                <w:i w:val="false"/>
                <w:color w:val="000000"/>
                <w:sz w:val="20"/>
              </w:rPr>
              <w:t>и системе реестров держателей</w:t>
            </w:r>
            <w:r>
              <w:br/>
            </w:r>
            <w:r>
              <w:rPr>
                <w:rFonts w:ascii="Times New Roman"/>
                <w:b w:val="false"/>
                <w:i w:val="false"/>
                <w:color w:val="000000"/>
                <w:sz w:val="20"/>
              </w:rPr>
              <w:t>ценных бумаг,</w:t>
            </w:r>
            <w:r>
              <w:br/>
            </w:r>
            <w:r>
              <w:rPr>
                <w:rFonts w:ascii="Times New Roman"/>
                <w:b w:val="false"/>
                <w:i w:val="false"/>
                <w:color w:val="000000"/>
                <w:sz w:val="20"/>
              </w:rPr>
              <w:t>предоставления выписки</w:t>
            </w:r>
            <w:r>
              <w:br/>
            </w:r>
            <w:r>
              <w:rPr>
                <w:rFonts w:ascii="Times New Roman"/>
                <w:b w:val="false"/>
                <w:i w:val="false"/>
                <w:color w:val="000000"/>
                <w:sz w:val="20"/>
              </w:rPr>
              <w:t>с лицевого счета</w:t>
            </w:r>
            <w:r>
              <w:br/>
            </w:r>
            <w:r>
              <w:rPr>
                <w:rFonts w:ascii="Times New Roman"/>
                <w:b w:val="false"/>
                <w:i w:val="false"/>
                <w:color w:val="000000"/>
                <w:sz w:val="20"/>
              </w:rPr>
              <w:t>зарегистрированного лица</w:t>
            </w:r>
            <w:r>
              <w:br/>
            </w:r>
            <w:r>
              <w:rPr>
                <w:rFonts w:ascii="Times New Roman"/>
                <w:b w:val="false"/>
                <w:i w:val="false"/>
                <w:color w:val="000000"/>
                <w:sz w:val="20"/>
              </w:rPr>
              <w:t>в системе учета</w:t>
            </w:r>
            <w:r>
              <w:br/>
            </w:r>
            <w:r>
              <w:rPr>
                <w:rFonts w:ascii="Times New Roman"/>
                <w:b w:val="false"/>
                <w:i w:val="false"/>
                <w:color w:val="000000"/>
                <w:sz w:val="20"/>
              </w:rPr>
              <w:t>центрального депозитария</w:t>
            </w:r>
            <w:r>
              <w:br/>
            </w:r>
            <w:r>
              <w:rPr>
                <w:rFonts w:ascii="Times New Roman"/>
                <w:b w:val="false"/>
                <w:i w:val="false"/>
                <w:color w:val="000000"/>
                <w:sz w:val="20"/>
              </w:rPr>
              <w:t>и (или) в системе учета</w:t>
            </w:r>
            <w:r>
              <w:br/>
            </w:r>
            <w:r>
              <w:rPr>
                <w:rFonts w:ascii="Times New Roman"/>
                <w:b w:val="false"/>
                <w:i w:val="false"/>
                <w:color w:val="000000"/>
                <w:sz w:val="20"/>
              </w:rPr>
              <w:t>номинального держания</w:t>
            </w:r>
            <w:r>
              <w:br/>
            </w:r>
            <w:r>
              <w:rPr>
                <w:rFonts w:ascii="Times New Roman"/>
                <w:b w:val="false"/>
                <w:i w:val="false"/>
                <w:color w:val="000000"/>
                <w:sz w:val="20"/>
              </w:rPr>
              <w:t>и предоставления</w:t>
            </w:r>
            <w:r>
              <w:br/>
            </w:r>
            <w:r>
              <w:rPr>
                <w:rFonts w:ascii="Times New Roman"/>
                <w:b w:val="false"/>
                <w:i w:val="false"/>
                <w:color w:val="000000"/>
                <w:sz w:val="20"/>
              </w:rPr>
              <w:t>номинальным держателем</w:t>
            </w:r>
            <w:r>
              <w:br/>
            </w:r>
            <w:r>
              <w:rPr>
                <w:rFonts w:ascii="Times New Roman"/>
                <w:b w:val="false"/>
                <w:i w:val="false"/>
                <w:color w:val="000000"/>
                <w:sz w:val="20"/>
              </w:rPr>
              <w:t>информации о клиентах, ценные</w:t>
            </w:r>
            <w:r>
              <w:br/>
            </w:r>
            <w:r>
              <w:rPr>
                <w:rFonts w:ascii="Times New Roman"/>
                <w:b w:val="false"/>
                <w:i w:val="false"/>
                <w:color w:val="000000"/>
                <w:sz w:val="20"/>
              </w:rPr>
              <w:t>бумаги которых находятся в его</w:t>
            </w:r>
            <w:r>
              <w:br/>
            </w:r>
            <w:r>
              <w:rPr>
                <w:rFonts w:ascii="Times New Roman"/>
                <w:b w:val="false"/>
                <w:i w:val="false"/>
                <w:color w:val="000000"/>
                <w:sz w:val="20"/>
              </w:rPr>
              <w:t>номинальном держании,</w:t>
            </w:r>
            <w:r>
              <w:br/>
            </w:r>
            <w:r>
              <w:rPr>
                <w:rFonts w:ascii="Times New Roman"/>
                <w:b w:val="false"/>
                <w:i w:val="false"/>
                <w:color w:val="000000"/>
                <w:sz w:val="20"/>
              </w:rPr>
              <w:t>по требованию центрального</w:t>
            </w:r>
            <w:r>
              <w:br/>
            </w:r>
            <w:r>
              <w:rPr>
                <w:rFonts w:ascii="Times New Roman"/>
                <w:b w:val="false"/>
                <w:i w:val="false"/>
                <w:color w:val="000000"/>
                <w:sz w:val="20"/>
              </w:rPr>
              <w:t>депозитария и эмитента";</w:t>
            </w:r>
          </w:p>
        </w:tc>
      </w:tr>
    </w:tbl>
    <w:bookmarkStart w:name="z109" w:id="82"/>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марта 2017 года № 54 "Об утверждении Требований к эмитентам и их ценным бумагам, допускаемым к обращению на фондовой бирже, а также к отдельным категориям списка фондовой биржи и внесении изменений в некоторые нормативные правовые акты Республики Казахстан по вопросам регулирования рынка ценных бумаг" (зарегистрировано в Реестре государственной регистрации нормативных правовых актов под № 15175) следующие изменения:</w:t>
      </w:r>
    </w:p>
    <w:bookmarkEnd w:id="82"/>
    <w:bookmarkStart w:name="z110" w:id="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эмитентам и их ценным бумагам, допускаемым к обращению на фондовой бирже, а также к отдельным категориям официального списка фондовой биржи, утвержденных указанным постановлением:</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12" w:id="84"/>
    <w:p>
      <w:pPr>
        <w:spacing w:after="0"/>
        <w:ind w:left="0"/>
        <w:jc w:val="both"/>
      </w:pPr>
      <w:r>
        <w:rPr>
          <w:rFonts w:ascii="Times New Roman"/>
          <w:b w:val="false"/>
          <w:i w:val="false"/>
          <w:color w:val="000000"/>
          <w:sz w:val="28"/>
        </w:rPr>
        <w:t>
      "9. Сектор "акции" площадки "Основная" подразделяется на две категории: категория "премиум" и категория "стандарт".</w:t>
      </w:r>
    </w:p>
    <w:bookmarkEnd w:id="84"/>
    <w:bookmarkStart w:name="z113" w:id="85"/>
    <w:p>
      <w:pPr>
        <w:spacing w:after="0"/>
        <w:ind w:left="0"/>
        <w:jc w:val="both"/>
      </w:pPr>
      <w:r>
        <w:rPr>
          <w:rFonts w:ascii="Times New Roman"/>
          <w:b w:val="false"/>
          <w:i w:val="false"/>
          <w:color w:val="000000"/>
          <w:sz w:val="28"/>
        </w:rPr>
        <w:t>
      Категория "премиум" предназначается для эмитентов, количество акций в свободном обращении которых составляет (будет составлять после размещения) не менее 10 (десяти) процентов от общего количества размещенных (за исключением выкупленных эмитентом, обремененных и (или) блокированных) акций.</w:t>
      </w:r>
    </w:p>
    <w:bookmarkEnd w:id="85"/>
    <w:bookmarkStart w:name="z114" w:id="86"/>
    <w:p>
      <w:pPr>
        <w:spacing w:after="0"/>
        <w:ind w:left="0"/>
        <w:jc w:val="both"/>
      </w:pPr>
      <w:r>
        <w:rPr>
          <w:rFonts w:ascii="Times New Roman"/>
          <w:b w:val="false"/>
          <w:i w:val="false"/>
          <w:color w:val="000000"/>
          <w:sz w:val="28"/>
        </w:rPr>
        <w:t>
      Требование, установленное в части первой настоящего пункта, не распространяется на эмитентов, у которых суммарная рыночная стоимость простых акций, находящихся в свободном обращении, составляет (будет составлять после размещения) не менее 100 (ста) миллиардов тенге и/или количество акций, находящихся в свободном обращении, составляет (будет составлять после размещения) не менее 5 (пяти) миллионов штук.".</w:t>
      </w:r>
    </w:p>
    <w:bookmarkEnd w:id="86"/>
    <w:bookmarkStart w:name="z115" w:id="87"/>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октября 2018 года № 248 "Об утверждении Правил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аннулирования выпуска негосударственных облигаций, Требований к документам для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Перечня документов для аннулирования выпуска негосударственных облигаций и требований к ним, Правил составления и оформления проспекта выпуска негосударственных облигаций (проспекта облигационной программы), изменений и (или) дополнений в проспект выпуска негосударственных облигаций (проспект облигационной программы)" (зарегистрировано в Реестре государственной регистрации нормативных правовых актов под № 17884) следующее изменение:</w:t>
      </w:r>
    </w:p>
    <w:bookmarkEnd w:id="87"/>
    <w:bookmarkStart w:name="z116" w:id="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документам для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утвержденных указанным постановлением:</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Перечню нормативных правовых актов Республики Казахстан по вопросам развития рынка ценных бумаг, в которые вносятся изменения и дополнение.</w:t>
      </w:r>
    </w:p>
    <w:bookmarkStart w:name="z118" w:id="89"/>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октября 2018 года № 249 "Об утверждении Правил осуществления деятельности по ведению системы реестров держателей ценных бумаг" (зарегистрировано в Реестре государственной регистрации нормативных правовых актов под № 17803) следующие изменения:</w:t>
      </w:r>
    </w:p>
    <w:bookmarkEnd w:id="89"/>
    <w:bookmarkStart w:name="z119" w:id="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деятельности по ведению системы реестров держателей ценных бумаг, утвержденных указанным постановлением:</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p>
    <w:bookmarkStart w:name="z121" w:id="91"/>
    <w:p>
      <w:pPr>
        <w:spacing w:after="0"/>
        <w:ind w:left="0"/>
        <w:jc w:val="both"/>
      </w:pPr>
      <w:r>
        <w:rPr>
          <w:rFonts w:ascii="Times New Roman"/>
          <w:b w:val="false"/>
          <w:i w:val="false"/>
          <w:color w:val="000000"/>
          <w:sz w:val="28"/>
        </w:rPr>
        <w:t xml:space="preserve">
      "46. Центральный депозитарий в течение 3 (трех) календарных дней с даты получения приказа номинального держателя на открытие клиенту номинального держателя лицевого счета в системе реестров рассматривает документы, предоставленные номинальному держателю его клиентом для открытия лицевого счета в системе учета номинального держания, и приказ на открытие в системе реестров лицевого счета собственнику ценных бумаг, являвшемуся клиентом номинального держателя согласно пункту 36 Правил регистрации сделок с эмиссионными ценными бумагами, уступки прав требования по обязательствам эмитентов по эмиссионным ценным бумагам в системе учета центрального депозитария, предоставления выписки с лицевого счета зарегистрированного лица в системе учета центрального депозитария и (или) в системе учета номинального держания и предоставления номинальным держателем информации о клиентах, ценные бумаги которых находятся в его номинальном держании, по требованию центрального депозитария и эмитента,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октября 2014 года № 210, зарегистрированным в Реестре государственной регистрации нормативных правовых актов под № 9876 (далее – Правила № 210).</w:t>
      </w:r>
    </w:p>
    <w:bookmarkEnd w:id="91"/>
    <w:bookmarkStart w:name="z122" w:id="92"/>
    <w:p>
      <w:pPr>
        <w:spacing w:after="0"/>
        <w:ind w:left="0"/>
        <w:jc w:val="both"/>
      </w:pPr>
      <w:r>
        <w:rPr>
          <w:rFonts w:ascii="Times New Roman"/>
          <w:b w:val="false"/>
          <w:i w:val="false"/>
          <w:color w:val="000000"/>
          <w:sz w:val="28"/>
        </w:rPr>
        <w:t>
      Центральный депозитарий в течение 3 (трех) календарных дней с даты получения приказа номинального держателя на списание ценных бумаг (прав требования по обязательствам эмитента по эмиссионным ценным бумагам) со счета номинального держателя, открытого в системе учета центрального депозитария, в целях их последующего зачисления на лицевой счет, открытый клиенту номинального держателя в системе реестров, зачисляет на лицевой счет, открытый в системе реестров собственнику ценных бумаг, являвшемуся клиентом номинального держателя, принадлежащих ему ценных бумаг (прав требования по обязательствам эмитента по эмиссионным ценным бумагам), и списывает с лицевого счета, открытого в системе учета центрального депозитария, числящихся на нем ценных бумаг (прав требования по обязательствам эмитента по эмиссионным ценным бумагам).";</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89</w:t>
      </w:r>
      <w:r>
        <w:rPr>
          <w:rFonts w:ascii="Times New Roman"/>
          <w:b w:val="false"/>
          <w:i w:val="false"/>
          <w:color w:val="000000"/>
          <w:sz w:val="28"/>
        </w:rPr>
        <w:t xml:space="preserve"> изложить в следующей редакции:</w:t>
      </w:r>
    </w:p>
    <w:bookmarkStart w:name="z124" w:id="93"/>
    <w:p>
      <w:pPr>
        <w:spacing w:after="0"/>
        <w:ind w:left="0"/>
        <w:jc w:val="both"/>
      </w:pPr>
      <w:r>
        <w:rPr>
          <w:rFonts w:ascii="Times New Roman"/>
          <w:b w:val="false"/>
          <w:i w:val="false"/>
          <w:color w:val="000000"/>
          <w:sz w:val="28"/>
        </w:rPr>
        <w:t>
      "89. Список акционеров для проведения общего собрания акционеров составляется согласно своду правил центрального депозитария и содержит следующие сведения:</w:t>
      </w:r>
    </w:p>
    <w:bookmarkEnd w:id="93"/>
    <w:bookmarkStart w:name="z125" w:id="94"/>
    <w:p>
      <w:pPr>
        <w:spacing w:after="0"/>
        <w:ind w:left="0"/>
        <w:jc w:val="both"/>
      </w:pPr>
      <w:r>
        <w:rPr>
          <w:rFonts w:ascii="Times New Roman"/>
          <w:b w:val="false"/>
          <w:i w:val="false"/>
          <w:color w:val="000000"/>
          <w:sz w:val="28"/>
        </w:rPr>
        <w:t>
      1) наименование эмитента на казахском или русском языках, его место нахождения, номер и дату государственной регистрации (перерегистрации) юридического лица, БИН (при наличии);</w:t>
      </w:r>
    </w:p>
    <w:bookmarkEnd w:id="94"/>
    <w:bookmarkStart w:name="z126" w:id="95"/>
    <w:p>
      <w:pPr>
        <w:spacing w:after="0"/>
        <w:ind w:left="0"/>
        <w:jc w:val="both"/>
      </w:pPr>
      <w:r>
        <w:rPr>
          <w:rFonts w:ascii="Times New Roman"/>
          <w:b w:val="false"/>
          <w:i w:val="false"/>
          <w:color w:val="000000"/>
          <w:sz w:val="28"/>
        </w:rPr>
        <w:t>
      2) количество объявленных акций;</w:t>
      </w:r>
    </w:p>
    <w:bookmarkEnd w:id="95"/>
    <w:bookmarkStart w:name="z127" w:id="96"/>
    <w:p>
      <w:pPr>
        <w:spacing w:after="0"/>
        <w:ind w:left="0"/>
        <w:jc w:val="both"/>
      </w:pPr>
      <w:r>
        <w:rPr>
          <w:rFonts w:ascii="Times New Roman"/>
          <w:b w:val="false"/>
          <w:i w:val="false"/>
          <w:color w:val="000000"/>
          <w:sz w:val="28"/>
        </w:rPr>
        <w:t>
      3) количество размещенных акций;</w:t>
      </w:r>
    </w:p>
    <w:bookmarkEnd w:id="96"/>
    <w:bookmarkStart w:name="z128" w:id="97"/>
    <w:p>
      <w:pPr>
        <w:spacing w:after="0"/>
        <w:ind w:left="0"/>
        <w:jc w:val="both"/>
      </w:pPr>
      <w:r>
        <w:rPr>
          <w:rFonts w:ascii="Times New Roman"/>
          <w:b w:val="false"/>
          <w:i w:val="false"/>
          <w:color w:val="000000"/>
          <w:sz w:val="28"/>
        </w:rPr>
        <w:t>
      4) количество акций, выкупленных эмитентом;</w:t>
      </w:r>
    </w:p>
    <w:bookmarkEnd w:id="97"/>
    <w:bookmarkStart w:name="z129" w:id="98"/>
    <w:p>
      <w:pPr>
        <w:spacing w:after="0"/>
        <w:ind w:left="0"/>
        <w:jc w:val="both"/>
      </w:pPr>
      <w:r>
        <w:rPr>
          <w:rFonts w:ascii="Times New Roman"/>
          <w:b w:val="false"/>
          <w:i w:val="false"/>
          <w:color w:val="000000"/>
          <w:sz w:val="28"/>
        </w:rPr>
        <w:t>
      5) вид и международный идентификационный номер (код ISIN) акций;</w:t>
      </w:r>
    </w:p>
    <w:bookmarkEnd w:id="98"/>
    <w:bookmarkStart w:name="z130" w:id="99"/>
    <w:p>
      <w:pPr>
        <w:spacing w:after="0"/>
        <w:ind w:left="0"/>
        <w:jc w:val="both"/>
      </w:pPr>
      <w:r>
        <w:rPr>
          <w:rFonts w:ascii="Times New Roman"/>
          <w:b w:val="false"/>
          <w:i w:val="false"/>
          <w:color w:val="000000"/>
          <w:sz w:val="28"/>
        </w:rPr>
        <w:t>
      6) список акционеров, включая собственников депозитарных расписок, сведения о которых раскрыты в системе учета номинального держания, с указанием:</w:t>
      </w:r>
    </w:p>
    <w:bookmarkEnd w:id="99"/>
    <w:bookmarkStart w:name="z131" w:id="100"/>
    <w:p>
      <w:pPr>
        <w:spacing w:after="0"/>
        <w:ind w:left="0"/>
        <w:jc w:val="both"/>
      </w:pPr>
      <w:r>
        <w:rPr>
          <w:rFonts w:ascii="Times New Roman"/>
          <w:b w:val="false"/>
          <w:i w:val="false"/>
          <w:color w:val="000000"/>
          <w:sz w:val="28"/>
        </w:rPr>
        <w:t>
      наименований юридических лиц - акционеров, номера и даты их государственной регистрации (перерегистрации);</w:t>
      </w:r>
    </w:p>
    <w:bookmarkEnd w:id="100"/>
    <w:bookmarkStart w:name="z132" w:id="101"/>
    <w:p>
      <w:pPr>
        <w:spacing w:after="0"/>
        <w:ind w:left="0"/>
        <w:jc w:val="both"/>
      </w:pPr>
      <w:r>
        <w:rPr>
          <w:rFonts w:ascii="Times New Roman"/>
          <w:b w:val="false"/>
          <w:i w:val="false"/>
          <w:color w:val="000000"/>
          <w:sz w:val="28"/>
        </w:rPr>
        <w:t>
      фамилий, имен, отчеств (при их наличии) акционеров - физических лиц, наименований и реквизитов документа, удостоверяющего личность акционера - физического лица;</w:t>
      </w:r>
    </w:p>
    <w:bookmarkEnd w:id="101"/>
    <w:bookmarkStart w:name="z133" w:id="102"/>
    <w:p>
      <w:pPr>
        <w:spacing w:after="0"/>
        <w:ind w:left="0"/>
        <w:jc w:val="both"/>
      </w:pPr>
      <w:r>
        <w:rPr>
          <w:rFonts w:ascii="Times New Roman"/>
          <w:b w:val="false"/>
          <w:i w:val="false"/>
          <w:color w:val="000000"/>
          <w:sz w:val="28"/>
        </w:rPr>
        <w:t>
      количества акций, принадлежащих акционеру, с указанием количества обремененных и (или) блокированных акций;</w:t>
      </w:r>
    </w:p>
    <w:bookmarkEnd w:id="102"/>
    <w:bookmarkStart w:name="z134" w:id="103"/>
    <w:p>
      <w:pPr>
        <w:spacing w:after="0"/>
        <w:ind w:left="0"/>
        <w:jc w:val="both"/>
      </w:pPr>
      <w:r>
        <w:rPr>
          <w:rFonts w:ascii="Times New Roman"/>
          <w:b w:val="false"/>
          <w:i w:val="false"/>
          <w:color w:val="000000"/>
          <w:sz w:val="28"/>
        </w:rPr>
        <w:t>
      количества голосующих простых акций, принадлежащих акционеру;</w:t>
      </w:r>
    </w:p>
    <w:bookmarkEnd w:id="103"/>
    <w:bookmarkStart w:name="z135" w:id="104"/>
    <w:p>
      <w:pPr>
        <w:spacing w:after="0"/>
        <w:ind w:left="0"/>
        <w:jc w:val="both"/>
      </w:pPr>
      <w:r>
        <w:rPr>
          <w:rFonts w:ascii="Times New Roman"/>
          <w:b w:val="false"/>
          <w:i w:val="false"/>
          <w:color w:val="000000"/>
          <w:sz w:val="28"/>
        </w:rPr>
        <w:t>
      количество привилегированных акций, принадлежащих акционеру;</w:t>
      </w:r>
    </w:p>
    <w:bookmarkEnd w:id="104"/>
    <w:bookmarkStart w:name="z136" w:id="105"/>
    <w:p>
      <w:pPr>
        <w:spacing w:after="0"/>
        <w:ind w:left="0"/>
        <w:jc w:val="both"/>
      </w:pPr>
      <w:r>
        <w:rPr>
          <w:rFonts w:ascii="Times New Roman"/>
          <w:b w:val="false"/>
          <w:i w:val="false"/>
          <w:color w:val="000000"/>
          <w:sz w:val="28"/>
        </w:rPr>
        <w:t>
      7) количество акций, учитываемых в системе реестров, находящихся в номинальном держании и принадлежащих собственнику, сведения о котором отсутствуют в системе учета номинального держания;</w:t>
      </w:r>
    </w:p>
    <w:bookmarkEnd w:id="105"/>
    <w:bookmarkStart w:name="z137" w:id="106"/>
    <w:p>
      <w:pPr>
        <w:spacing w:after="0"/>
        <w:ind w:left="0"/>
        <w:jc w:val="both"/>
      </w:pPr>
      <w:r>
        <w:rPr>
          <w:rFonts w:ascii="Times New Roman"/>
          <w:b w:val="false"/>
          <w:i w:val="false"/>
          <w:color w:val="000000"/>
          <w:sz w:val="28"/>
        </w:rPr>
        <w:t>
      8) цель составления списка акционеров;</w:t>
      </w:r>
    </w:p>
    <w:bookmarkEnd w:id="106"/>
    <w:bookmarkStart w:name="z138" w:id="107"/>
    <w:p>
      <w:pPr>
        <w:spacing w:after="0"/>
        <w:ind w:left="0"/>
        <w:jc w:val="both"/>
      </w:pPr>
      <w:r>
        <w:rPr>
          <w:rFonts w:ascii="Times New Roman"/>
          <w:b w:val="false"/>
          <w:i w:val="false"/>
          <w:color w:val="000000"/>
          <w:sz w:val="28"/>
        </w:rPr>
        <w:t>
      9) дата и время, по состоянию на которые составлен список акционеров.</w:t>
      </w:r>
    </w:p>
    <w:bookmarkEnd w:id="107"/>
    <w:bookmarkStart w:name="z139" w:id="108"/>
    <w:p>
      <w:pPr>
        <w:spacing w:after="0"/>
        <w:ind w:left="0"/>
        <w:jc w:val="both"/>
      </w:pPr>
      <w:r>
        <w:rPr>
          <w:rFonts w:ascii="Times New Roman"/>
          <w:b w:val="false"/>
          <w:i w:val="false"/>
          <w:color w:val="000000"/>
          <w:sz w:val="28"/>
        </w:rPr>
        <w:t xml:space="preserve">
      Список акционеров для начисления доходов по ценным бумагам составляется согласно своду правил центрального депозитария и содержит сведения о банковских реквизитах акционеров и сведения о наличии льгот, по налогообложению, предоставленных акционеру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при наличии этих сведений у центрального депозитария.</w:t>
      </w:r>
    </w:p>
    <w:bookmarkEnd w:id="108"/>
    <w:bookmarkStart w:name="z140" w:id="109"/>
    <w:p>
      <w:pPr>
        <w:spacing w:after="0"/>
        <w:ind w:left="0"/>
        <w:jc w:val="both"/>
      </w:pPr>
      <w:r>
        <w:rPr>
          <w:rFonts w:ascii="Times New Roman"/>
          <w:b w:val="false"/>
          <w:i w:val="false"/>
          <w:color w:val="000000"/>
          <w:sz w:val="28"/>
        </w:rPr>
        <w:t xml:space="preserve">
      В список акционеров с указанием их конечных собственников включается информация, полученная центральным депозитарием в ответ на запрос, отправленный в соответствии с пунктом 53-1 </w:t>
      </w:r>
      <w:r>
        <w:rPr>
          <w:rFonts w:ascii="Times New Roman"/>
          <w:b w:val="false"/>
          <w:i w:val="false"/>
          <w:color w:val="000000"/>
          <w:sz w:val="28"/>
        </w:rPr>
        <w:t>Правил № 210</w:t>
      </w:r>
      <w:r>
        <w:rPr>
          <w:rFonts w:ascii="Times New Roman"/>
          <w:b w:val="false"/>
          <w:i w:val="false"/>
          <w:color w:val="000000"/>
          <w:sz w:val="28"/>
        </w:rPr>
        <w:t xml:space="preserve"> либо те сведения, которые имеются в системе учета центрального депозитария, в случае неполучения им информации в ответ на указанный запрос в установленные сроки.</w:t>
      </w:r>
    </w:p>
    <w:bookmarkEnd w:id="109"/>
    <w:bookmarkStart w:name="z141" w:id="110"/>
    <w:p>
      <w:pPr>
        <w:spacing w:after="0"/>
        <w:ind w:left="0"/>
        <w:jc w:val="both"/>
      </w:pPr>
      <w:r>
        <w:rPr>
          <w:rFonts w:ascii="Times New Roman"/>
          <w:b w:val="false"/>
          <w:i w:val="false"/>
          <w:color w:val="000000"/>
          <w:sz w:val="28"/>
        </w:rPr>
        <w:t>
      В список акционеров для иных целей дополнительно включается информация, запрашиваемая эмитентом.</w:t>
      </w:r>
    </w:p>
    <w:bookmarkEnd w:id="110"/>
    <w:bookmarkStart w:name="z142" w:id="111"/>
    <w:p>
      <w:pPr>
        <w:spacing w:after="0"/>
        <w:ind w:left="0"/>
        <w:jc w:val="both"/>
      </w:pPr>
      <w:r>
        <w:rPr>
          <w:rFonts w:ascii="Times New Roman"/>
          <w:b w:val="false"/>
          <w:i w:val="false"/>
          <w:color w:val="000000"/>
          <w:sz w:val="28"/>
        </w:rPr>
        <w:t>
      Список акционеров подписывается уполномоченными лицами, определенными сводом правил центрального депозитария, и заверяется штампом центрального депозитария со своим наименованием на казахском и русском языках.";</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94</w:t>
      </w:r>
      <w:r>
        <w:rPr>
          <w:rFonts w:ascii="Times New Roman"/>
          <w:b w:val="false"/>
          <w:i w:val="false"/>
          <w:color w:val="000000"/>
          <w:sz w:val="28"/>
        </w:rPr>
        <w:t xml:space="preserve"> изложить в следующей редакции:</w:t>
      </w:r>
    </w:p>
    <w:bookmarkStart w:name="z144" w:id="112"/>
    <w:p>
      <w:pPr>
        <w:spacing w:after="0"/>
        <w:ind w:left="0"/>
        <w:jc w:val="both"/>
      </w:pPr>
      <w:r>
        <w:rPr>
          <w:rFonts w:ascii="Times New Roman"/>
          <w:b w:val="false"/>
          <w:i w:val="false"/>
          <w:color w:val="000000"/>
          <w:sz w:val="28"/>
        </w:rPr>
        <w:t>
      "94. За исключением случаев, предусмотренных частями второй, третьей и четвертой настоящего пункта, выдача реестра держателей ценных бумаг или списка акционеров осуществляется центральным депозитарием в срок не позднее двадцати четырех часов с момента получения от эмитента приказа на выдачу реестра держателей ценных бумаг или списка акционеров при условии, что приказ подается не ранее даты, на которую составляется реестр держателей ценных бумаг или список акционеров.</w:t>
      </w:r>
    </w:p>
    <w:bookmarkEnd w:id="112"/>
    <w:bookmarkStart w:name="z145" w:id="113"/>
    <w:p>
      <w:pPr>
        <w:spacing w:after="0"/>
        <w:ind w:left="0"/>
        <w:jc w:val="both"/>
      </w:pPr>
      <w:r>
        <w:rPr>
          <w:rFonts w:ascii="Times New Roman"/>
          <w:b w:val="false"/>
          <w:i w:val="false"/>
          <w:color w:val="000000"/>
          <w:sz w:val="28"/>
        </w:rPr>
        <w:t xml:space="preserve">
      Если центральный депозитарий направлял номинальным держателям запросы о раскрытии сведений об их клиентах в соответствии с пунктом 52 </w:t>
      </w:r>
      <w:r>
        <w:rPr>
          <w:rFonts w:ascii="Times New Roman"/>
          <w:b w:val="false"/>
          <w:i w:val="false"/>
          <w:color w:val="000000"/>
          <w:sz w:val="28"/>
        </w:rPr>
        <w:t>Правил № 210</w:t>
      </w:r>
      <w:r>
        <w:rPr>
          <w:rFonts w:ascii="Times New Roman"/>
          <w:b w:val="false"/>
          <w:i w:val="false"/>
          <w:color w:val="000000"/>
          <w:sz w:val="28"/>
        </w:rPr>
        <w:t>, выдача реестра держателей ценных бумаг или списка акционеров для проведения общего собрания акционеров или представления иной информации об акционерах, ценные бумаги которых находятся в номинальном держании, осуществляется центральным депозитарием в срок не позднее 15 (пятнадцати) рабочих дней с даты получения соответствующего приказа эмитента или запроса уполномоченного органа.</w:t>
      </w:r>
    </w:p>
    <w:bookmarkEnd w:id="113"/>
    <w:bookmarkStart w:name="z146" w:id="114"/>
    <w:p>
      <w:pPr>
        <w:spacing w:after="0"/>
        <w:ind w:left="0"/>
        <w:jc w:val="both"/>
      </w:pPr>
      <w:r>
        <w:rPr>
          <w:rFonts w:ascii="Times New Roman"/>
          <w:b w:val="false"/>
          <w:i w:val="false"/>
          <w:color w:val="000000"/>
          <w:sz w:val="28"/>
        </w:rPr>
        <w:t xml:space="preserve">
      Если центральный депозитарий направлял запросы о раскрытии сведений о конечных собственниках ценных бумаг в соответствии с пунктом 53-1 </w:t>
      </w:r>
      <w:r>
        <w:rPr>
          <w:rFonts w:ascii="Times New Roman"/>
          <w:b w:val="false"/>
          <w:i w:val="false"/>
          <w:color w:val="000000"/>
          <w:sz w:val="28"/>
        </w:rPr>
        <w:t>Правил № 210</w:t>
      </w:r>
      <w:r>
        <w:rPr>
          <w:rFonts w:ascii="Times New Roman"/>
          <w:b w:val="false"/>
          <w:i w:val="false"/>
          <w:color w:val="000000"/>
          <w:sz w:val="28"/>
        </w:rPr>
        <w:t>, выдача списка акционеров с указанием их конечных собственников осуществляется центральным депозитарием в срок не позднее 15 (пятнадцати) рабочих дней с даты получения запроса уполномоченного органа или эмитента на предоставление указанного списка.</w:t>
      </w:r>
    </w:p>
    <w:bookmarkEnd w:id="114"/>
    <w:bookmarkStart w:name="z147" w:id="115"/>
    <w:p>
      <w:pPr>
        <w:spacing w:after="0"/>
        <w:ind w:left="0"/>
        <w:jc w:val="both"/>
      </w:pPr>
      <w:r>
        <w:rPr>
          <w:rFonts w:ascii="Times New Roman"/>
          <w:b w:val="false"/>
          <w:i w:val="false"/>
          <w:color w:val="000000"/>
          <w:sz w:val="28"/>
        </w:rPr>
        <w:t>
      Если в запросе эмитента указана будущая дата формирования списка или реестра или иной информации об акционерах, срок отсчитывается с даты на которую составляется реестр держателей ценных бумаг или список акционеров.".</w:t>
      </w:r>
    </w:p>
    <w:bookmarkEnd w:id="115"/>
    <w:bookmarkStart w:name="z148" w:id="116"/>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ноября 2018 года № 307 "Об утверждении Правил осуществления деятельности центрального депозитария" (зарегистрировано в Реестре государственной регистрации нормативных правовых актов под № 17920) следующие изменение и дополнение:</w:t>
      </w:r>
    </w:p>
    <w:bookmarkEnd w:id="116"/>
    <w:bookmarkStart w:name="z149" w:id="1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деятельности центрального депозитария, утвержденных указанным постановлением:</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151" w:id="118"/>
    <w:p>
      <w:pPr>
        <w:spacing w:after="0"/>
        <w:ind w:left="0"/>
        <w:jc w:val="both"/>
      </w:pPr>
      <w:r>
        <w:rPr>
          <w:rFonts w:ascii="Times New Roman"/>
          <w:b w:val="false"/>
          <w:i w:val="false"/>
          <w:color w:val="000000"/>
          <w:sz w:val="28"/>
        </w:rPr>
        <w:t>
      "15. Учет финансовых инструментов, за исключением денег, клиентов центрального депозитария осуществляется отдельно от финансовых инструментов, принадлежащих самому центральному депозитарию, на забалансовых счетах.".</w:t>
      </w:r>
    </w:p>
    <w:bookmarkEnd w:id="118"/>
    <w:bookmarkStart w:name="z152" w:id="119"/>
    <w:p>
      <w:pPr>
        <w:spacing w:after="0"/>
        <w:ind w:left="0"/>
        <w:jc w:val="both"/>
      </w:pPr>
      <w:r>
        <w:rPr>
          <w:rFonts w:ascii="Times New Roman"/>
          <w:b w:val="false"/>
          <w:i w:val="false"/>
          <w:color w:val="000000"/>
          <w:sz w:val="28"/>
        </w:rPr>
        <w:t>
      дополнить пунктом 31-1 следующего содержания:</w:t>
      </w:r>
    </w:p>
    <w:bookmarkEnd w:id="119"/>
    <w:bookmarkStart w:name="z153" w:id="120"/>
    <w:p>
      <w:pPr>
        <w:spacing w:after="0"/>
        <w:ind w:left="0"/>
        <w:jc w:val="both"/>
      </w:pPr>
      <w:r>
        <w:rPr>
          <w:rFonts w:ascii="Times New Roman"/>
          <w:b w:val="false"/>
          <w:i w:val="false"/>
          <w:color w:val="000000"/>
          <w:sz w:val="28"/>
        </w:rPr>
        <w:t>
      "31-1. Договором с клиентом может быть предусмотрено получение в собственность центральным депозитарием дохода от операций, определенных данным договором.".</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развития</w:t>
            </w:r>
            <w:r>
              <w:br/>
            </w:r>
            <w:r>
              <w:rPr>
                <w:rFonts w:ascii="Times New Roman"/>
                <w:b w:val="false"/>
                <w:i w:val="false"/>
                <w:color w:val="000000"/>
                <w:sz w:val="20"/>
              </w:rPr>
              <w:t>рынка ценных бумаг,</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Требованиям к документам</w:t>
            </w:r>
            <w:r>
              <w:br/>
            </w:r>
            <w:r>
              <w:rPr>
                <w:rFonts w:ascii="Times New Roman"/>
                <w:b w:val="false"/>
                <w:i w:val="false"/>
                <w:color w:val="000000"/>
                <w:sz w:val="20"/>
              </w:rPr>
              <w:t>для государственной</w:t>
            </w:r>
            <w:r>
              <w:br/>
            </w:r>
            <w:r>
              <w:rPr>
                <w:rFonts w:ascii="Times New Roman"/>
                <w:b w:val="false"/>
                <w:i w:val="false"/>
                <w:color w:val="000000"/>
                <w:sz w:val="20"/>
              </w:rPr>
              <w:t>регистрации выпуска</w:t>
            </w:r>
            <w:r>
              <w:br/>
            </w:r>
            <w:r>
              <w:rPr>
                <w:rFonts w:ascii="Times New Roman"/>
                <w:b w:val="false"/>
                <w:i w:val="false"/>
                <w:color w:val="000000"/>
                <w:sz w:val="20"/>
              </w:rPr>
              <w:t>негосударственных облигаций</w:t>
            </w:r>
            <w:r>
              <w:br/>
            </w:r>
            <w:r>
              <w:rPr>
                <w:rFonts w:ascii="Times New Roman"/>
                <w:b w:val="false"/>
                <w:i w:val="false"/>
                <w:color w:val="000000"/>
                <w:sz w:val="20"/>
              </w:rPr>
              <w:t>(облигационной программы),</w:t>
            </w:r>
            <w:r>
              <w:br/>
            </w:r>
            <w:r>
              <w:rPr>
                <w:rFonts w:ascii="Times New Roman"/>
                <w:b w:val="false"/>
                <w:i w:val="false"/>
                <w:color w:val="000000"/>
                <w:sz w:val="20"/>
              </w:rPr>
              <w:t>регистрации изменений и (или)</w:t>
            </w:r>
            <w:r>
              <w:br/>
            </w:r>
            <w:r>
              <w:rPr>
                <w:rFonts w:ascii="Times New Roman"/>
                <w:b w:val="false"/>
                <w:i w:val="false"/>
                <w:color w:val="000000"/>
                <w:sz w:val="20"/>
              </w:rPr>
              <w:t>дополнений в проспект выпуска</w:t>
            </w:r>
            <w:r>
              <w:br/>
            </w:r>
            <w:r>
              <w:rPr>
                <w:rFonts w:ascii="Times New Roman"/>
                <w:b w:val="false"/>
                <w:i w:val="false"/>
                <w:color w:val="000000"/>
                <w:sz w:val="20"/>
              </w:rPr>
              <w:t>негосударственных облигаций</w:t>
            </w:r>
            <w:r>
              <w:br/>
            </w:r>
            <w:r>
              <w:rPr>
                <w:rFonts w:ascii="Times New Roman"/>
                <w:b w:val="false"/>
                <w:i w:val="false"/>
                <w:color w:val="000000"/>
                <w:sz w:val="20"/>
              </w:rPr>
              <w:t>(проспект облигационной</w:t>
            </w:r>
            <w:r>
              <w:br/>
            </w:r>
            <w:r>
              <w:rPr>
                <w:rFonts w:ascii="Times New Roman"/>
                <w:b w:val="false"/>
                <w:i w:val="false"/>
                <w:color w:val="000000"/>
                <w:sz w:val="20"/>
              </w:rPr>
              <w:t>программы), частный</w:t>
            </w:r>
            <w:r>
              <w:br/>
            </w:r>
            <w:r>
              <w:rPr>
                <w:rFonts w:ascii="Times New Roman"/>
                <w:b w:val="false"/>
                <w:i w:val="false"/>
                <w:color w:val="000000"/>
                <w:sz w:val="20"/>
              </w:rPr>
              <w:t>меморандум</w:t>
            </w:r>
          </w:p>
        </w:tc>
      </w:tr>
    </w:tbl>
    <w:bookmarkStart w:name="z156" w:id="121"/>
    <w:p>
      <w:pPr>
        <w:spacing w:after="0"/>
        <w:ind w:left="0"/>
        <w:jc w:val="both"/>
      </w:pPr>
      <w:r>
        <w:rPr>
          <w:rFonts w:ascii="Times New Roman"/>
          <w:b w:val="false"/>
          <w:i w:val="false"/>
          <w:color w:val="000000"/>
          <w:sz w:val="28"/>
        </w:rPr>
        <w:t>
      Структура частного меморандума</w:t>
      </w:r>
    </w:p>
    <w:bookmarkEnd w:id="121"/>
    <w:bookmarkStart w:name="z157" w:id="122"/>
    <w:p>
      <w:pPr>
        <w:spacing w:after="0"/>
        <w:ind w:left="0"/>
        <w:jc w:val="both"/>
      </w:pPr>
      <w:r>
        <w:rPr>
          <w:rFonts w:ascii="Times New Roman"/>
          <w:b w:val="false"/>
          <w:i w:val="false"/>
          <w:color w:val="000000"/>
          <w:sz w:val="28"/>
        </w:rPr>
        <w:t>
      Наименование документа: "Частный меморандум"</w:t>
      </w:r>
    </w:p>
    <w:bookmarkEnd w:id="122"/>
    <w:bookmarkStart w:name="z158" w:id="123"/>
    <w:p>
      <w:pPr>
        <w:spacing w:after="0"/>
        <w:ind w:left="0"/>
        <w:jc w:val="both"/>
      </w:pPr>
      <w:r>
        <w:rPr>
          <w:rFonts w:ascii="Times New Roman"/>
          <w:b w:val="false"/>
          <w:i w:val="false"/>
          <w:color w:val="000000"/>
          <w:sz w:val="28"/>
        </w:rPr>
        <w:t>
      Запись: "Государственная регистрация выпуска негосударственных облигаций уполномоченным органом не означает предоставление каких-либо рекомендаций инвесторам относительно приобретения негосударственных облигаций, описанных в частном меморандуме, и не подтверждает достоверность информации, содержащейся в данном документе.</w:t>
      </w:r>
    </w:p>
    <w:bookmarkEnd w:id="123"/>
    <w:bookmarkStart w:name="z159" w:id="124"/>
    <w:p>
      <w:pPr>
        <w:spacing w:after="0"/>
        <w:ind w:left="0"/>
        <w:jc w:val="both"/>
      </w:pPr>
      <w:r>
        <w:rPr>
          <w:rFonts w:ascii="Times New Roman"/>
          <w:b w:val="false"/>
          <w:i w:val="false"/>
          <w:color w:val="000000"/>
          <w:sz w:val="28"/>
        </w:rPr>
        <w:t>
      Должностные лица эмитента подтверждают, что вся информация, представленная в нем, является достоверной и не вводящей в заблуждение инвесторов относительно эмитента и его размещаемых негосударственных облигаций.".</w:t>
      </w:r>
    </w:p>
    <w:bookmarkEnd w:id="124"/>
    <w:bookmarkStart w:name="z160" w:id="125"/>
    <w:p>
      <w:pPr>
        <w:spacing w:after="0"/>
        <w:ind w:left="0"/>
        <w:jc w:val="both"/>
      </w:pPr>
      <w:r>
        <w:rPr>
          <w:rFonts w:ascii="Times New Roman"/>
          <w:b w:val="false"/>
          <w:i w:val="false"/>
          <w:color w:val="000000"/>
          <w:sz w:val="28"/>
        </w:rPr>
        <w:t>
      1. Полное и сокращенное наименование эмитента на казахском, русском и английском (при наличии) языках.</w:t>
      </w:r>
    </w:p>
    <w:bookmarkEnd w:id="125"/>
    <w:bookmarkStart w:name="z161" w:id="126"/>
    <w:p>
      <w:pPr>
        <w:spacing w:after="0"/>
        <w:ind w:left="0"/>
        <w:jc w:val="both"/>
      </w:pPr>
      <w:r>
        <w:rPr>
          <w:rFonts w:ascii="Times New Roman"/>
          <w:b w:val="false"/>
          <w:i w:val="false"/>
          <w:color w:val="000000"/>
          <w:sz w:val="28"/>
        </w:rPr>
        <w:t>
      2. Бизнес-идентификационный номер эмитента.</w:t>
      </w:r>
    </w:p>
    <w:bookmarkEnd w:id="126"/>
    <w:bookmarkStart w:name="z162" w:id="127"/>
    <w:p>
      <w:pPr>
        <w:spacing w:after="0"/>
        <w:ind w:left="0"/>
        <w:jc w:val="both"/>
      </w:pPr>
      <w:r>
        <w:rPr>
          <w:rFonts w:ascii="Times New Roman"/>
          <w:b w:val="false"/>
          <w:i w:val="false"/>
          <w:color w:val="000000"/>
          <w:sz w:val="28"/>
        </w:rPr>
        <w:t>
      3. Сведения о выпуске облигаций:</w:t>
      </w:r>
    </w:p>
    <w:bookmarkEnd w:id="127"/>
    <w:bookmarkStart w:name="z163" w:id="128"/>
    <w:p>
      <w:pPr>
        <w:spacing w:after="0"/>
        <w:ind w:left="0"/>
        <w:jc w:val="both"/>
      </w:pPr>
      <w:r>
        <w:rPr>
          <w:rFonts w:ascii="Times New Roman"/>
          <w:b w:val="false"/>
          <w:i w:val="false"/>
          <w:color w:val="000000"/>
          <w:sz w:val="28"/>
        </w:rPr>
        <w:t>
      1) вид облигаций, количество облигаций и общий объем выпуска облигаций. В случае, если облигации являются облигациями без срока погашения, указываются сведения об этом;</w:t>
      </w:r>
    </w:p>
    <w:bookmarkEnd w:id="128"/>
    <w:bookmarkStart w:name="z164" w:id="129"/>
    <w:p>
      <w:pPr>
        <w:spacing w:after="0"/>
        <w:ind w:left="0"/>
        <w:jc w:val="both"/>
      </w:pPr>
      <w:r>
        <w:rPr>
          <w:rFonts w:ascii="Times New Roman"/>
          <w:b w:val="false"/>
          <w:i w:val="false"/>
          <w:color w:val="000000"/>
          <w:sz w:val="28"/>
        </w:rPr>
        <w:t>
      2) номинальная стоимость одной облигации (если номинальная стоимость одной облигации является индексированной величиной, то дополнительно указывается порядок расчета номинальной стоимости одной облигации);</w:t>
      </w:r>
    </w:p>
    <w:bookmarkEnd w:id="129"/>
    <w:bookmarkStart w:name="z165" w:id="130"/>
    <w:p>
      <w:pPr>
        <w:spacing w:after="0"/>
        <w:ind w:left="0"/>
        <w:jc w:val="both"/>
      </w:pPr>
      <w:r>
        <w:rPr>
          <w:rFonts w:ascii="Times New Roman"/>
          <w:b w:val="false"/>
          <w:i w:val="false"/>
          <w:color w:val="000000"/>
          <w:sz w:val="28"/>
        </w:rPr>
        <w:t>
      3) валюта номинальной стоимости облигации, платежа по основному долгу и (или) начисленному вознаграждению по облигациям;</w:t>
      </w:r>
    </w:p>
    <w:bookmarkEnd w:id="130"/>
    <w:bookmarkStart w:name="z166" w:id="131"/>
    <w:p>
      <w:pPr>
        <w:spacing w:after="0"/>
        <w:ind w:left="0"/>
        <w:jc w:val="both"/>
      </w:pPr>
      <w:r>
        <w:rPr>
          <w:rFonts w:ascii="Times New Roman"/>
          <w:b w:val="false"/>
          <w:i w:val="false"/>
          <w:color w:val="000000"/>
          <w:sz w:val="28"/>
        </w:rPr>
        <w:t>
      4) размер ставки основного вознаграждения по облигациям и дополнительного вознаграждения в случае его наличия.</w:t>
      </w:r>
    </w:p>
    <w:bookmarkEnd w:id="131"/>
    <w:bookmarkStart w:name="z167" w:id="132"/>
    <w:p>
      <w:pPr>
        <w:spacing w:after="0"/>
        <w:ind w:left="0"/>
        <w:jc w:val="both"/>
      </w:pPr>
      <w:r>
        <w:rPr>
          <w:rFonts w:ascii="Times New Roman"/>
          <w:b w:val="false"/>
          <w:i w:val="false"/>
          <w:color w:val="000000"/>
          <w:sz w:val="28"/>
        </w:rPr>
        <w:t>
      В случае выплаты дополнительного вознаграждения отражается порядок определения размера дополнительного вознаграждения по облигациям с указанием источников информации о событиях, от наступления или ненаступления которых зависит получение дополнительного вознаграждения по облигациям.</w:t>
      </w:r>
    </w:p>
    <w:bookmarkEnd w:id="132"/>
    <w:bookmarkStart w:name="z168" w:id="133"/>
    <w:p>
      <w:pPr>
        <w:spacing w:after="0"/>
        <w:ind w:left="0"/>
        <w:jc w:val="both"/>
      </w:pPr>
      <w:r>
        <w:rPr>
          <w:rFonts w:ascii="Times New Roman"/>
          <w:b w:val="false"/>
          <w:i w:val="false"/>
          <w:color w:val="000000"/>
          <w:sz w:val="28"/>
        </w:rPr>
        <w:t>
      В случае выплаты вознаграждения и номинальной стоимости при погашении облигаций иными имущественными правами, приводится описание этих прав, способов обеспечения их сохранности, порядка оценки и лиц, правомочных осуществлять оценку указанных прав, а также порядка перехода этих прав;</w:t>
      </w:r>
    </w:p>
    <w:bookmarkEnd w:id="133"/>
    <w:bookmarkStart w:name="z169" w:id="134"/>
    <w:p>
      <w:pPr>
        <w:spacing w:after="0"/>
        <w:ind w:left="0"/>
        <w:jc w:val="both"/>
      </w:pPr>
      <w:r>
        <w:rPr>
          <w:rFonts w:ascii="Times New Roman"/>
          <w:b w:val="false"/>
          <w:i w:val="false"/>
          <w:color w:val="000000"/>
          <w:sz w:val="28"/>
        </w:rPr>
        <w:t>
      5) порядок и условия выплаты вознаграждения по облигациям с указанием периодичности выплаты вознаграждения и (или) даты выплаты вознаграждения и способа получения вознаграждения;</w:t>
      </w:r>
    </w:p>
    <w:bookmarkEnd w:id="134"/>
    <w:bookmarkStart w:name="z170" w:id="135"/>
    <w:p>
      <w:pPr>
        <w:spacing w:after="0"/>
        <w:ind w:left="0"/>
        <w:jc w:val="both"/>
      </w:pPr>
      <w:r>
        <w:rPr>
          <w:rFonts w:ascii="Times New Roman"/>
          <w:b w:val="false"/>
          <w:i w:val="false"/>
          <w:color w:val="000000"/>
          <w:sz w:val="28"/>
        </w:rPr>
        <w:t>
      6) дата начала и срок обращения облигаций (в случае выпуска облигаций без срока погашения срок обращения не указывается);</w:t>
      </w:r>
    </w:p>
    <w:bookmarkEnd w:id="135"/>
    <w:bookmarkStart w:name="z171" w:id="136"/>
    <w:p>
      <w:pPr>
        <w:spacing w:after="0"/>
        <w:ind w:left="0"/>
        <w:jc w:val="both"/>
      </w:pPr>
      <w:r>
        <w:rPr>
          <w:rFonts w:ascii="Times New Roman"/>
          <w:b w:val="false"/>
          <w:i w:val="false"/>
          <w:color w:val="000000"/>
          <w:sz w:val="28"/>
        </w:rPr>
        <w:t>
      7) дата и способ погашения облигаций (не заполняется в случае выпуска облигаций без срока погашения);</w:t>
      </w:r>
    </w:p>
    <w:bookmarkEnd w:id="136"/>
    <w:bookmarkStart w:name="z172" w:id="137"/>
    <w:p>
      <w:pPr>
        <w:spacing w:after="0"/>
        <w:ind w:left="0"/>
        <w:jc w:val="both"/>
      </w:pPr>
      <w:r>
        <w:rPr>
          <w:rFonts w:ascii="Times New Roman"/>
          <w:b w:val="false"/>
          <w:i w:val="false"/>
          <w:color w:val="000000"/>
          <w:sz w:val="28"/>
        </w:rPr>
        <w:t>
      8) рынок, на котором планируется обращение облигаций (организованный и (или) неорганизованный рынок ценных бумаг).</w:t>
      </w:r>
    </w:p>
    <w:bookmarkEnd w:id="137"/>
    <w:bookmarkStart w:name="z173" w:id="138"/>
    <w:p>
      <w:pPr>
        <w:spacing w:after="0"/>
        <w:ind w:left="0"/>
        <w:jc w:val="both"/>
      </w:pPr>
      <w:r>
        <w:rPr>
          <w:rFonts w:ascii="Times New Roman"/>
          <w:b w:val="false"/>
          <w:i w:val="false"/>
          <w:color w:val="000000"/>
          <w:sz w:val="28"/>
        </w:rPr>
        <w:t>
      4. Порядок и условия досрочного погашения облигаций.</w:t>
      </w:r>
    </w:p>
    <w:bookmarkEnd w:id="138"/>
    <w:bookmarkStart w:name="z174" w:id="139"/>
    <w:p>
      <w:pPr>
        <w:spacing w:after="0"/>
        <w:ind w:left="0"/>
        <w:jc w:val="both"/>
      </w:pPr>
      <w:r>
        <w:rPr>
          <w:rFonts w:ascii="Times New Roman"/>
          <w:b w:val="false"/>
          <w:i w:val="false"/>
          <w:color w:val="000000"/>
          <w:sz w:val="28"/>
        </w:rPr>
        <w:t>
      В случае если предусматривается возможность досрочного погашения облигаций, указываются стоимость (порядок определения стоимости), порядок и условия досрочного погашения облигаций, 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 порядок раскрытия эмитентом информации об условиях и итогах досрочного погашения облигаций, а также иные условия досрочного погашения облигаций, предусмотренные решением о выпуске облигаций, в зависимости от того, осуществляется ли досрочное погашение по усмотрению эмитента или по требованию владельцев облигаций.</w:t>
      </w:r>
    </w:p>
    <w:bookmarkEnd w:id="139"/>
    <w:bookmarkStart w:name="z175" w:id="140"/>
    <w:p>
      <w:pPr>
        <w:spacing w:after="0"/>
        <w:ind w:left="0"/>
        <w:jc w:val="both"/>
      </w:pPr>
      <w:r>
        <w:rPr>
          <w:rFonts w:ascii="Times New Roman"/>
          <w:b w:val="false"/>
          <w:i w:val="false"/>
          <w:color w:val="000000"/>
          <w:sz w:val="28"/>
        </w:rPr>
        <w:t>
      В случае если возможность досрочного погашения облигаций эмитентом не предусматривается, указывается на это обстоятельство.</w:t>
      </w:r>
    </w:p>
    <w:bookmarkEnd w:id="140"/>
    <w:bookmarkStart w:name="z176" w:id="141"/>
    <w:p>
      <w:pPr>
        <w:spacing w:after="0"/>
        <w:ind w:left="0"/>
        <w:jc w:val="both"/>
      </w:pPr>
      <w:r>
        <w:rPr>
          <w:rFonts w:ascii="Times New Roman"/>
          <w:b w:val="false"/>
          <w:i w:val="false"/>
          <w:color w:val="000000"/>
          <w:sz w:val="28"/>
        </w:rPr>
        <w:t>
      5. При выпуске облигаций специальной финансовой компании при проектном финансировании дополнительно указываются:</w:t>
      </w:r>
    </w:p>
    <w:bookmarkEnd w:id="141"/>
    <w:bookmarkStart w:name="z177" w:id="142"/>
    <w:p>
      <w:pPr>
        <w:spacing w:after="0"/>
        <w:ind w:left="0"/>
        <w:jc w:val="both"/>
      </w:pPr>
      <w:r>
        <w:rPr>
          <w:rFonts w:ascii="Times New Roman"/>
          <w:b w:val="false"/>
          <w:i w:val="false"/>
          <w:color w:val="000000"/>
          <w:sz w:val="28"/>
        </w:rPr>
        <w:t>
      1) характеристика денежных требований, условия и прогнозируемые сроки поступления денег по правам требования, входящим в состав выделенных активов;</w:t>
      </w:r>
    </w:p>
    <w:bookmarkEnd w:id="142"/>
    <w:bookmarkStart w:name="z178" w:id="143"/>
    <w:p>
      <w:pPr>
        <w:spacing w:after="0"/>
        <w:ind w:left="0"/>
        <w:jc w:val="both"/>
      </w:pPr>
      <w:r>
        <w:rPr>
          <w:rFonts w:ascii="Times New Roman"/>
          <w:b w:val="false"/>
          <w:i w:val="false"/>
          <w:color w:val="000000"/>
          <w:sz w:val="28"/>
        </w:rPr>
        <w:t>
      2) порядок предоставления информации держателям облигаций о смене собственника на имущество, созданное по базовому договору, и порядок введения представителей кредиторов в органы специальной финансовой компании и их полномочиях;</w:t>
      </w:r>
    </w:p>
    <w:bookmarkEnd w:id="143"/>
    <w:bookmarkStart w:name="z179" w:id="144"/>
    <w:p>
      <w:pPr>
        <w:spacing w:after="0"/>
        <w:ind w:left="0"/>
        <w:jc w:val="both"/>
      </w:pPr>
      <w:r>
        <w:rPr>
          <w:rFonts w:ascii="Times New Roman"/>
          <w:b w:val="false"/>
          <w:i w:val="false"/>
          <w:color w:val="000000"/>
          <w:sz w:val="28"/>
        </w:rPr>
        <w:t>
      3) перечень расходов специальной финансовой компании, связанных с обслуживанием сделки проектного финансирования, инвестиционным управлением, осуществляемым за счет выделенных активов;</w:t>
      </w:r>
    </w:p>
    <w:bookmarkEnd w:id="144"/>
    <w:bookmarkStart w:name="z180" w:id="145"/>
    <w:p>
      <w:pPr>
        <w:spacing w:after="0"/>
        <w:ind w:left="0"/>
        <w:jc w:val="both"/>
      </w:pPr>
      <w:r>
        <w:rPr>
          <w:rFonts w:ascii="Times New Roman"/>
          <w:b w:val="false"/>
          <w:i w:val="false"/>
          <w:color w:val="000000"/>
          <w:sz w:val="28"/>
        </w:rPr>
        <w:t>
      4) порядок и очередность выплаты вознаграждения и погашения облигаций различных выпусков, выпущенных в пределах одной облигационной программы (указывается в частном меморандуме в пределах облигационной программы);</w:t>
      </w:r>
    </w:p>
    <w:bookmarkEnd w:id="145"/>
    <w:bookmarkStart w:name="z181" w:id="146"/>
    <w:p>
      <w:pPr>
        <w:spacing w:after="0"/>
        <w:ind w:left="0"/>
        <w:jc w:val="both"/>
      </w:pPr>
      <w:r>
        <w:rPr>
          <w:rFonts w:ascii="Times New Roman"/>
          <w:b w:val="false"/>
          <w:i w:val="false"/>
          <w:color w:val="000000"/>
          <w:sz w:val="28"/>
        </w:rPr>
        <w:t>
      5) порядок и очередность удовлетворения требований держателей облигаций специальной финансовой компании при банкротстве специальной финансовой компании.</w:t>
      </w:r>
    </w:p>
    <w:bookmarkEnd w:id="146"/>
    <w:bookmarkStart w:name="z182" w:id="147"/>
    <w:p>
      <w:pPr>
        <w:spacing w:after="0"/>
        <w:ind w:left="0"/>
        <w:jc w:val="both"/>
      </w:pPr>
      <w:r>
        <w:rPr>
          <w:rFonts w:ascii="Times New Roman"/>
          <w:b w:val="false"/>
          <w:i w:val="false"/>
          <w:color w:val="000000"/>
          <w:sz w:val="28"/>
        </w:rPr>
        <w:t>
      6. При выпуске облигаций специальной финансовой компании при секьюритизации дополнительно указываются:</w:t>
      </w:r>
    </w:p>
    <w:bookmarkEnd w:id="147"/>
    <w:bookmarkStart w:name="z183" w:id="148"/>
    <w:p>
      <w:pPr>
        <w:spacing w:after="0"/>
        <w:ind w:left="0"/>
        <w:jc w:val="both"/>
      </w:pPr>
      <w:r>
        <w:rPr>
          <w:rFonts w:ascii="Times New Roman"/>
          <w:b w:val="false"/>
          <w:i w:val="false"/>
          <w:color w:val="000000"/>
          <w:sz w:val="28"/>
        </w:rPr>
        <w:t>
      1) наименование и место нахождения оригинатора, банка-кастодиана, управляющего инвестиционным портфелем, специальной финансовой компании и лица, осуществляющего сбор платежей по уступленным правам требования;</w:t>
      </w:r>
    </w:p>
    <w:bookmarkEnd w:id="148"/>
    <w:bookmarkStart w:name="z184" w:id="149"/>
    <w:p>
      <w:pPr>
        <w:spacing w:after="0"/>
        <w:ind w:left="0"/>
        <w:jc w:val="both"/>
      </w:pPr>
      <w:r>
        <w:rPr>
          <w:rFonts w:ascii="Times New Roman"/>
          <w:b w:val="false"/>
          <w:i w:val="false"/>
          <w:color w:val="000000"/>
          <w:sz w:val="28"/>
        </w:rPr>
        <w:t>
      2) предмет деятельности, права и обязанности оригинатора в сделке секьюритизации;</w:t>
      </w:r>
    </w:p>
    <w:bookmarkEnd w:id="149"/>
    <w:bookmarkStart w:name="z185" w:id="150"/>
    <w:p>
      <w:pPr>
        <w:spacing w:after="0"/>
        <w:ind w:left="0"/>
        <w:jc w:val="both"/>
      </w:pPr>
      <w:r>
        <w:rPr>
          <w:rFonts w:ascii="Times New Roman"/>
          <w:b w:val="false"/>
          <w:i w:val="false"/>
          <w:color w:val="000000"/>
          <w:sz w:val="28"/>
        </w:rPr>
        <w:t>
      3) характеристика прав требования, условия, порядок и сроки поступления денег по правам требования, входящим в состав выделенных активов, и порядок осуществления контроля за их исполнением;</w:t>
      </w:r>
    </w:p>
    <w:bookmarkEnd w:id="150"/>
    <w:bookmarkStart w:name="z186" w:id="151"/>
    <w:p>
      <w:pPr>
        <w:spacing w:after="0"/>
        <w:ind w:left="0"/>
        <w:jc w:val="both"/>
      </w:pPr>
      <w:r>
        <w:rPr>
          <w:rFonts w:ascii="Times New Roman"/>
          <w:b w:val="false"/>
          <w:i w:val="false"/>
          <w:color w:val="000000"/>
          <w:sz w:val="28"/>
        </w:rPr>
        <w:t>
      4) порядок инвестирования временно свободных поступлений по выделенным активам;</w:t>
      </w:r>
    </w:p>
    <w:bookmarkEnd w:id="151"/>
    <w:bookmarkStart w:name="z187" w:id="152"/>
    <w:p>
      <w:pPr>
        <w:spacing w:after="0"/>
        <w:ind w:left="0"/>
        <w:jc w:val="both"/>
      </w:pPr>
      <w:r>
        <w:rPr>
          <w:rFonts w:ascii="Times New Roman"/>
          <w:b w:val="false"/>
          <w:i w:val="false"/>
          <w:color w:val="000000"/>
          <w:sz w:val="28"/>
        </w:rPr>
        <w:t>
      5) критерии однородности прав требований;</w:t>
      </w:r>
    </w:p>
    <w:bookmarkEnd w:id="152"/>
    <w:bookmarkStart w:name="z188" w:id="153"/>
    <w:p>
      <w:pPr>
        <w:spacing w:after="0"/>
        <w:ind w:left="0"/>
        <w:jc w:val="both"/>
      </w:pPr>
      <w:r>
        <w:rPr>
          <w:rFonts w:ascii="Times New Roman"/>
          <w:b w:val="false"/>
          <w:i w:val="false"/>
          <w:color w:val="000000"/>
          <w:sz w:val="28"/>
        </w:rPr>
        <w:t>
      6) порядок и очередность выплаты вознаграждения и погашения облигаций различных выпусков, выпущенных в пределах одной облигационной программы (указывается в частном меморандуме в пределах облигационной программы);</w:t>
      </w:r>
    </w:p>
    <w:bookmarkEnd w:id="153"/>
    <w:bookmarkStart w:name="z189" w:id="154"/>
    <w:p>
      <w:pPr>
        <w:spacing w:after="0"/>
        <w:ind w:left="0"/>
        <w:jc w:val="both"/>
      </w:pPr>
      <w:r>
        <w:rPr>
          <w:rFonts w:ascii="Times New Roman"/>
          <w:b w:val="false"/>
          <w:i w:val="false"/>
          <w:color w:val="000000"/>
          <w:sz w:val="28"/>
        </w:rPr>
        <w:t>
      7) порядок и очередность удовлетворения требований держателей облигаций специальной финансовой компании при банкротстве специальной финансовой компании.</w:t>
      </w:r>
    </w:p>
    <w:bookmarkEnd w:id="154"/>
    <w:bookmarkStart w:name="z190" w:id="155"/>
    <w:p>
      <w:pPr>
        <w:spacing w:after="0"/>
        <w:ind w:left="0"/>
        <w:jc w:val="both"/>
      </w:pPr>
      <w:r>
        <w:rPr>
          <w:rFonts w:ascii="Times New Roman"/>
          <w:b w:val="false"/>
          <w:i w:val="false"/>
          <w:color w:val="000000"/>
          <w:sz w:val="28"/>
        </w:rPr>
        <w:t>
      7. Сведения об имуществе эмитента, являющемся полным или частичным обеспечением обязательств по выпущенным облигациям:</w:t>
      </w:r>
    </w:p>
    <w:bookmarkEnd w:id="155"/>
    <w:bookmarkStart w:name="z191" w:id="156"/>
    <w:p>
      <w:pPr>
        <w:spacing w:after="0"/>
        <w:ind w:left="0"/>
        <w:jc w:val="both"/>
      </w:pPr>
      <w:r>
        <w:rPr>
          <w:rFonts w:ascii="Times New Roman"/>
          <w:b w:val="false"/>
          <w:i w:val="false"/>
          <w:color w:val="000000"/>
          <w:sz w:val="28"/>
        </w:rPr>
        <w:t>
      1) описание обеспечения по выпущенным облигациям с указанием стоимости данного имущества;</w:t>
      </w:r>
    </w:p>
    <w:bookmarkEnd w:id="156"/>
    <w:bookmarkStart w:name="z192" w:id="157"/>
    <w:p>
      <w:pPr>
        <w:spacing w:after="0"/>
        <w:ind w:left="0"/>
        <w:jc w:val="both"/>
      </w:pPr>
      <w:r>
        <w:rPr>
          <w:rFonts w:ascii="Times New Roman"/>
          <w:b w:val="false"/>
          <w:i w:val="false"/>
          <w:color w:val="000000"/>
          <w:sz w:val="28"/>
        </w:rPr>
        <w:t>
      2) процентное соотношение стоимости обеспечения к совокупному объему выпуска облигаций;</w:t>
      </w:r>
    </w:p>
    <w:bookmarkEnd w:id="157"/>
    <w:bookmarkStart w:name="z193" w:id="158"/>
    <w:p>
      <w:pPr>
        <w:spacing w:after="0"/>
        <w:ind w:left="0"/>
        <w:jc w:val="both"/>
      </w:pPr>
      <w:r>
        <w:rPr>
          <w:rFonts w:ascii="Times New Roman"/>
          <w:b w:val="false"/>
          <w:i w:val="false"/>
          <w:color w:val="000000"/>
          <w:sz w:val="28"/>
        </w:rPr>
        <w:t>
      3) порядок обращения взыскания на предмет залога.</w:t>
      </w:r>
    </w:p>
    <w:bookmarkEnd w:id="158"/>
    <w:bookmarkStart w:name="z194" w:id="159"/>
    <w:p>
      <w:pPr>
        <w:spacing w:after="0"/>
        <w:ind w:left="0"/>
        <w:jc w:val="both"/>
      </w:pPr>
      <w:r>
        <w:rPr>
          <w:rFonts w:ascii="Times New Roman"/>
          <w:b w:val="false"/>
          <w:i w:val="false"/>
          <w:color w:val="000000"/>
          <w:sz w:val="28"/>
        </w:rPr>
        <w:t>
      8. Данные лица, предоставившего гарантию, с указанием его наименования, места нахождения, реквизитов договора гарантии, срока и условий гарантии (если облигации обеспечены гарантией).</w:t>
      </w:r>
    </w:p>
    <w:bookmarkEnd w:id="159"/>
    <w:bookmarkStart w:name="z195" w:id="160"/>
    <w:p>
      <w:pPr>
        <w:spacing w:after="0"/>
        <w:ind w:left="0"/>
        <w:jc w:val="both"/>
      </w:pPr>
      <w:r>
        <w:rPr>
          <w:rFonts w:ascii="Times New Roman"/>
          <w:b w:val="false"/>
          <w:i w:val="false"/>
          <w:color w:val="000000"/>
          <w:sz w:val="28"/>
        </w:rPr>
        <w:t>
      9. Целевое назначение использования денег, полученных от размещения облигаций.</w:t>
      </w:r>
    </w:p>
    <w:bookmarkEnd w:id="160"/>
    <w:bookmarkStart w:name="z196" w:id="161"/>
    <w:p>
      <w:pPr>
        <w:spacing w:after="0"/>
        <w:ind w:left="0"/>
        <w:jc w:val="both"/>
      </w:pPr>
      <w:r>
        <w:rPr>
          <w:rFonts w:ascii="Times New Roman"/>
          <w:b w:val="false"/>
          <w:i w:val="false"/>
          <w:color w:val="000000"/>
          <w:sz w:val="28"/>
        </w:rPr>
        <w:t>
      Указываются конкретные цели использования денег, которые эмитент получит от размещения облигаций.</w:t>
      </w:r>
    </w:p>
    <w:bookmarkEnd w:id="161"/>
    <w:bookmarkStart w:name="z197" w:id="162"/>
    <w:p>
      <w:pPr>
        <w:spacing w:after="0"/>
        <w:ind w:left="0"/>
        <w:jc w:val="both"/>
      </w:pPr>
      <w:r>
        <w:rPr>
          <w:rFonts w:ascii="Times New Roman"/>
          <w:b w:val="false"/>
          <w:i w:val="false"/>
          <w:color w:val="000000"/>
          <w:sz w:val="28"/>
        </w:rPr>
        <w:t>
      В случае выпуска "зеленых", социальных облигаций, облигаций устойчивого развития и облигаций, связанных с устойчивым развитием, указывается информация о наличии у эмитента рамочной программы по выпуску облигаций.</w:t>
      </w:r>
    </w:p>
    <w:bookmarkEnd w:id="162"/>
    <w:bookmarkStart w:name="z198" w:id="163"/>
    <w:p>
      <w:pPr>
        <w:spacing w:after="0"/>
        <w:ind w:left="0"/>
        <w:jc w:val="both"/>
      </w:pPr>
      <w:r>
        <w:rPr>
          <w:rFonts w:ascii="Times New Roman"/>
          <w:b w:val="false"/>
          <w:i w:val="false"/>
          <w:color w:val="000000"/>
          <w:sz w:val="28"/>
        </w:rPr>
        <w:t xml:space="preserve">
      В случае выпуска "зеленых" облигаций, указывается информация о соответствии целевого назначения использования денег, полученных от размещения облигаций, проектам, установленным </w:t>
      </w:r>
      <w:r>
        <w:rPr>
          <w:rFonts w:ascii="Times New Roman"/>
          <w:b w:val="false"/>
          <w:i w:val="false"/>
          <w:color w:val="000000"/>
          <w:sz w:val="28"/>
        </w:rPr>
        <w:t>пунктом 3</w:t>
      </w:r>
      <w:r>
        <w:rPr>
          <w:rFonts w:ascii="Times New Roman"/>
          <w:b w:val="false"/>
          <w:i w:val="false"/>
          <w:color w:val="000000"/>
          <w:sz w:val="28"/>
        </w:rPr>
        <w:t xml:space="preserve"> статьи 20-1 Закона о рынке ценных бумаг.</w:t>
      </w:r>
    </w:p>
    <w:bookmarkEnd w:id="163"/>
    <w:bookmarkStart w:name="z199" w:id="164"/>
    <w:p>
      <w:pPr>
        <w:spacing w:after="0"/>
        <w:ind w:left="0"/>
        <w:jc w:val="both"/>
      </w:pPr>
      <w:r>
        <w:rPr>
          <w:rFonts w:ascii="Times New Roman"/>
          <w:b w:val="false"/>
          <w:i w:val="false"/>
          <w:color w:val="000000"/>
          <w:sz w:val="28"/>
        </w:rPr>
        <w:t xml:space="preserve">
      В случае выпуска социальных облигаций приводится краткое описание соответствующего проекта, направленного на реализацию социальных задач, на финансирование которого будут использоваться деньги, полученные от размещения данных облигаций, а также информация о его соответствии проектам, установленным </w:t>
      </w:r>
      <w:r>
        <w:rPr>
          <w:rFonts w:ascii="Times New Roman"/>
          <w:b w:val="false"/>
          <w:i w:val="false"/>
          <w:color w:val="000000"/>
          <w:sz w:val="28"/>
        </w:rPr>
        <w:t>пунктом 4</w:t>
      </w:r>
      <w:r>
        <w:rPr>
          <w:rFonts w:ascii="Times New Roman"/>
          <w:b w:val="false"/>
          <w:i w:val="false"/>
          <w:color w:val="000000"/>
          <w:sz w:val="28"/>
        </w:rPr>
        <w:t xml:space="preserve"> статьи 20-1 Закона о рынке ценных бумаг.</w:t>
      </w:r>
    </w:p>
    <w:bookmarkEnd w:id="164"/>
    <w:bookmarkStart w:name="z200" w:id="165"/>
    <w:p>
      <w:pPr>
        <w:spacing w:after="0"/>
        <w:ind w:left="0"/>
        <w:jc w:val="both"/>
      </w:pPr>
      <w:r>
        <w:rPr>
          <w:rFonts w:ascii="Times New Roman"/>
          <w:b w:val="false"/>
          <w:i w:val="false"/>
          <w:color w:val="000000"/>
          <w:sz w:val="28"/>
        </w:rPr>
        <w:t xml:space="preserve">
      В случае выпуска облигаций устойчивого развития приводится краткое описание "зеленых" и социальных" проектов, на финансирование (реализацию) сочетания которых будут использоваться деньги, полученные от размещения данных облигаций, а также информация о их соответствии проектам, установленным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20-1 Закона о рынке ценных бумаг.</w:t>
      </w:r>
    </w:p>
    <w:bookmarkEnd w:id="165"/>
    <w:bookmarkStart w:name="z201" w:id="166"/>
    <w:p>
      <w:pPr>
        <w:spacing w:after="0"/>
        <w:ind w:left="0"/>
        <w:jc w:val="both"/>
      </w:pPr>
      <w:r>
        <w:rPr>
          <w:rFonts w:ascii="Times New Roman"/>
          <w:b w:val="false"/>
          <w:i w:val="false"/>
          <w:color w:val="000000"/>
          <w:sz w:val="28"/>
        </w:rPr>
        <w:t>
      В случае выпуска "зеленых", социальных облигаций и облигаций устойчивого развития дополнительно указываются:</w:t>
      </w:r>
    </w:p>
    <w:bookmarkEnd w:id="166"/>
    <w:bookmarkStart w:name="z202" w:id="167"/>
    <w:p>
      <w:pPr>
        <w:spacing w:after="0"/>
        <w:ind w:left="0"/>
        <w:jc w:val="both"/>
      </w:pPr>
      <w:r>
        <w:rPr>
          <w:rFonts w:ascii="Times New Roman"/>
          <w:b w:val="false"/>
          <w:i w:val="false"/>
          <w:color w:val="000000"/>
          <w:sz w:val="28"/>
        </w:rPr>
        <w:t>
      источники информации, на которых эмитентом будет осуществляться раскрытие информации о ходе реализации проекта, на финансирование которого использованы деньги, полученные от размещения данных облигаций;</w:t>
      </w:r>
    </w:p>
    <w:bookmarkEnd w:id="167"/>
    <w:bookmarkStart w:name="z203" w:id="168"/>
    <w:p>
      <w:pPr>
        <w:spacing w:after="0"/>
        <w:ind w:left="0"/>
        <w:jc w:val="both"/>
      </w:pPr>
      <w:r>
        <w:rPr>
          <w:rFonts w:ascii="Times New Roman"/>
          <w:b w:val="false"/>
          <w:i w:val="false"/>
          <w:color w:val="000000"/>
          <w:sz w:val="28"/>
        </w:rPr>
        <w:t xml:space="preserve">
      меры, которые будут предприняты эмитентом в случае, если проект, на финансирование которого использованы деньги, полученные от размещения данных облигаций, перестанет соответствовать проектам, установленным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20-1 Закона о рынке ценных бумаг.</w:t>
      </w:r>
    </w:p>
    <w:bookmarkEnd w:id="168"/>
    <w:bookmarkStart w:name="z204" w:id="169"/>
    <w:p>
      <w:pPr>
        <w:spacing w:after="0"/>
        <w:ind w:left="0"/>
        <w:jc w:val="both"/>
      </w:pPr>
      <w:r>
        <w:rPr>
          <w:rFonts w:ascii="Times New Roman"/>
          <w:b w:val="false"/>
          <w:i w:val="false"/>
          <w:color w:val="000000"/>
          <w:sz w:val="28"/>
        </w:rPr>
        <w:t>
      В случае выпуска облигаций, связанных с устойчивым развитием, описываются:</w:t>
      </w:r>
    </w:p>
    <w:bookmarkEnd w:id="169"/>
    <w:bookmarkStart w:name="z205" w:id="170"/>
    <w:p>
      <w:pPr>
        <w:spacing w:after="0"/>
        <w:ind w:left="0"/>
        <w:jc w:val="both"/>
      </w:pPr>
      <w:r>
        <w:rPr>
          <w:rFonts w:ascii="Times New Roman"/>
          <w:b w:val="false"/>
          <w:i w:val="false"/>
          <w:color w:val="000000"/>
          <w:sz w:val="28"/>
        </w:rPr>
        <w:t>
      ключевые показатели эффективности, используемые для оценки достижения конкретных результатов деятельности в области устойчивого развития с указанием заранее установленных эмитентом сроков их достижения;</w:t>
      </w:r>
    </w:p>
    <w:bookmarkEnd w:id="170"/>
    <w:bookmarkStart w:name="z206" w:id="171"/>
    <w:p>
      <w:pPr>
        <w:spacing w:after="0"/>
        <w:ind w:left="0"/>
        <w:jc w:val="both"/>
      </w:pPr>
      <w:r>
        <w:rPr>
          <w:rFonts w:ascii="Times New Roman"/>
          <w:b w:val="false"/>
          <w:i w:val="false"/>
          <w:color w:val="000000"/>
          <w:sz w:val="28"/>
        </w:rPr>
        <w:t>
      методика расчета указанных показателей;</w:t>
      </w:r>
    </w:p>
    <w:bookmarkEnd w:id="171"/>
    <w:bookmarkStart w:name="z207" w:id="172"/>
    <w:p>
      <w:pPr>
        <w:spacing w:after="0"/>
        <w:ind w:left="0"/>
        <w:jc w:val="both"/>
      </w:pPr>
      <w:r>
        <w:rPr>
          <w:rFonts w:ascii="Times New Roman"/>
          <w:b w:val="false"/>
          <w:i w:val="false"/>
          <w:color w:val="000000"/>
          <w:sz w:val="28"/>
        </w:rPr>
        <w:t>
      финансовые и (или) структурные характеристики облигаций, связанных с устойчивым развитием, вступающие в действие в случае их достижения эмитентом;</w:t>
      </w:r>
    </w:p>
    <w:bookmarkEnd w:id="172"/>
    <w:bookmarkStart w:name="z208" w:id="173"/>
    <w:p>
      <w:pPr>
        <w:spacing w:after="0"/>
        <w:ind w:left="0"/>
        <w:jc w:val="both"/>
      </w:pPr>
      <w:r>
        <w:rPr>
          <w:rFonts w:ascii="Times New Roman"/>
          <w:b w:val="false"/>
          <w:i w:val="false"/>
          <w:color w:val="000000"/>
          <w:sz w:val="28"/>
        </w:rPr>
        <w:t>
      источники информации, на которых эмитентом будет осуществляться раскрытие информации о выполнении установленных им ключевых показателей.</w:t>
      </w:r>
    </w:p>
    <w:bookmarkEnd w:id="173"/>
    <w:bookmarkStart w:name="z209" w:id="174"/>
    <w:p>
      <w:pPr>
        <w:spacing w:after="0"/>
        <w:ind w:left="0"/>
        <w:jc w:val="both"/>
      </w:pPr>
      <w:r>
        <w:rPr>
          <w:rFonts w:ascii="Times New Roman"/>
          <w:b w:val="false"/>
          <w:i w:val="false"/>
          <w:color w:val="000000"/>
          <w:sz w:val="28"/>
        </w:rPr>
        <w:t>
      В случае выпуска инвестиционных облигаций, деньги от размещения которых направляются на финансирование проекта, приводится краткое описание данного проекта.</w:t>
      </w:r>
    </w:p>
    <w:bookmarkEnd w:id="174"/>
    <w:bookmarkStart w:name="z210" w:id="175"/>
    <w:p>
      <w:pPr>
        <w:spacing w:after="0"/>
        <w:ind w:left="0"/>
        <w:jc w:val="both"/>
      </w:pPr>
      <w:r>
        <w:rPr>
          <w:rFonts w:ascii="Times New Roman"/>
          <w:b w:val="false"/>
          <w:i w:val="false"/>
          <w:color w:val="000000"/>
          <w:sz w:val="28"/>
        </w:rPr>
        <w:t>
      10. Права, предоставляемые держателю облигаций.</w:t>
      </w:r>
    </w:p>
    <w:bookmarkEnd w:id="175"/>
    <w:bookmarkStart w:name="z211" w:id="176"/>
    <w:p>
      <w:pPr>
        <w:spacing w:after="0"/>
        <w:ind w:left="0"/>
        <w:jc w:val="both"/>
      </w:pPr>
      <w:r>
        <w:rPr>
          <w:rFonts w:ascii="Times New Roman"/>
          <w:b w:val="false"/>
          <w:i w:val="false"/>
          <w:color w:val="000000"/>
          <w:sz w:val="28"/>
        </w:rPr>
        <w:t xml:space="preserve">
      В случае выпуска облигаций без срока погашения указываются сведения о том, что держателями негосударственных облигаций без срока погашения не может предъявляться требование о выкупе облигаций, в том числе по основаниям, предусмотренным </w:t>
      </w:r>
      <w:r>
        <w:rPr>
          <w:rFonts w:ascii="Times New Roman"/>
          <w:b w:val="false"/>
          <w:i w:val="false"/>
          <w:color w:val="000000"/>
          <w:sz w:val="28"/>
        </w:rPr>
        <w:t>статьями 15</w:t>
      </w:r>
      <w:r>
        <w:rPr>
          <w:rFonts w:ascii="Times New Roman"/>
          <w:b w:val="false"/>
          <w:i w:val="false"/>
          <w:color w:val="000000"/>
          <w:sz w:val="28"/>
        </w:rPr>
        <w:t xml:space="preserve"> и </w:t>
      </w:r>
      <w:r>
        <w:rPr>
          <w:rFonts w:ascii="Times New Roman"/>
          <w:b w:val="false"/>
          <w:i w:val="false"/>
          <w:color w:val="000000"/>
          <w:sz w:val="28"/>
        </w:rPr>
        <w:t>18-4</w:t>
      </w:r>
      <w:r>
        <w:rPr>
          <w:rFonts w:ascii="Times New Roman"/>
          <w:b w:val="false"/>
          <w:i w:val="false"/>
          <w:color w:val="000000"/>
          <w:sz w:val="28"/>
        </w:rPr>
        <w:t xml:space="preserve"> Закона о рынке ценных бумаг.</w:t>
      </w:r>
    </w:p>
    <w:bookmarkEnd w:id="176"/>
    <w:bookmarkStart w:name="z212" w:id="177"/>
    <w:p>
      <w:pPr>
        <w:spacing w:after="0"/>
        <w:ind w:left="0"/>
        <w:jc w:val="both"/>
      </w:pPr>
      <w:r>
        <w:rPr>
          <w:rFonts w:ascii="Times New Roman"/>
          <w:b w:val="false"/>
          <w:i w:val="false"/>
          <w:color w:val="000000"/>
          <w:sz w:val="28"/>
        </w:rPr>
        <w:t>
      11. Меры, которые будут предприняты эмитентом в случае наступления дефолта по облигациям, включая процедуры защиты прав держателей облигаций при неисполнении или ненадлежащем исполнении обязательств по выплате вознаграждения по облигациям, в том числе порядок и условия реструктуризации обязательств.</w:t>
      </w:r>
    </w:p>
    <w:bookmarkEnd w:id="1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