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d37f" w14:textId="65ed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труда и социальной защиты населения Республики Казахстан от 23 ноября 2023 года № 485 "Об утверждении Правил формирования базы данных вкладчиков (получателей) по обязательным пенсионным взносам, обязательным профессиональным пенсионным взносам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получателях и размерах пенсионных выплат"</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января 2024 года № 18. Зарегистрирован в Министерстве юстиции Республики Казахстан 1 февраля 2024 года № 33957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23 ноября 2023 года № 485 "Об утверждении Правил формирования базы данных вкладчиков (получателей) по обязательным пенсионным взносам, обязательным профессиональным пенсионным взносам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получателях и размерах пенсионных выплат" (зарегистрирован в Реестре государственной регистрации нормативных правовых актов за № 33675)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о получателях и размерах пенсионных выплат внести следующие изменения и дополнение: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"1. Настоящие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(далее – Правила) разработаны в соответствии с </w:t>
      </w:r>
      <w:r>
        <w:rPr>
          <w:rFonts w:ascii="Times New Roman"/>
          <w:b w:val="false"/>
          <w:i w:val="false"/>
          <w:color w:val="000000"/>
          <w:sz w:val="28"/>
        </w:rPr>
        <w:t>подпунктом 126)</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w:t>
      </w:r>
    </w:p>
    <w:bookmarkEnd w:id="8"/>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"9) обязательные пенсионные взносы работодателя (далее – ОПВР)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11"/>
    <w:bookmarkStart w:name="z23" w:id="12"/>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 (далее – ЦИО);";</w:t>
      </w:r>
    </w:p>
    <w:bookmarkEnd w:id="12"/>
    <w:bookmarkStart w:name="z24" w:id="13"/>
    <w:p>
      <w:pPr>
        <w:spacing w:after="0"/>
        <w:ind w:left="0"/>
        <w:jc w:val="both"/>
      </w:pPr>
      <w:r>
        <w:rPr>
          <w:rFonts w:ascii="Times New Roman"/>
          <w:b w:val="false"/>
          <w:i w:val="false"/>
          <w:color w:val="000000"/>
          <w:sz w:val="28"/>
        </w:rPr>
        <w:t>
      дополнить подпунктом 11) следующего содержания:</w:t>
      </w:r>
    </w:p>
    <w:bookmarkEnd w:id="13"/>
    <w:bookmarkStart w:name="z25" w:id="14"/>
    <w:p>
      <w:pPr>
        <w:spacing w:after="0"/>
        <w:ind w:left="0"/>
        <w:jc w:val="both"/>
      </w:pPr>
      <w:r>
        <w:rPr>
          <w:rFonts w:ascii="Times New Roman"/>
          <w:b w:val="false"/>
          <w:i w:val="false"/>
          <w:color w:val="000000"/>
          <w:sz w:val="28"/>
        </w:rPr>
        <w:t>
      "11) условный пенсионный счет (далее – УПС) – счет, открытый на имя физического лица в едином накопительном пенсионном фонде, на котором учитываются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"Глава 2.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15"/>
    <w:bookmarkStart w:name="z28"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0" w:id="17"/>
    <w:p>
      <w:pPr>
        <w:spacing w:after="0"/>
        <w:ind w:left="0"/>
        <w:jc w:val="both"/>
      </w:pPr>
      <w:r>
        <w:rPr>
          <w:rFonts w:ascii="Times New Roman"/>
          <w:b w:val="false"/>
          <w:i w:val="false"/>
          <w:color w:val="000000"/>
          <w:sz w:val="28"/>
        </w:rPr>
        <w:t>
      "1) о сумме поступивших (возвращенных) ОПВ, ОПВР, ОППВ и (или) пени;";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2" w:id="18"/>
    <w:p>
      <w:pPr>
        <w:spacing w:after="0"/>
        <w:ind w:left="0"/>
        <w:jc w:val="both"/>
      </w:pPr>
      <w:r>
        <w:rPr>
          <w:rFonts w:ascii="Times New Roman"/>
          <w:b w:val="false"/>
          <w:i w:val="false"/>
          <w:color w:val="000000"/>
          <w:sz w:val="28"/>
        </w:rPr>
        <w:t>
      "6) о суммах пенсионных накоплений, сформированных за счет ОПВ, ОПВР, ОППВ, сумме начисленного инвестиционного дохода на отчетные даты;";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4" w:id="19"/>
    <w:p>
      <w:pPr>
        <w:spacing w:after="0"/>
        <w:ind w:left="0"/>
        <w:jc w:val="both"/>
      </w:pPr>
      <w:r>
        <w:rPr>
          <w:rFonts w:ascii="Times New Roman"/>
          <w:b w:val="false"/>
          <w:i w:val="false"/>
          <w:color w:val="000000"/>
          <w:sz w:val="28"/>
        </w:rPr>
        <w:t xml:space="preserve">
      "9) о получателях пенсионных выплат, имеющих пенсионные накопления, сформированные за счет ОПВ, ОПВР, ОППВ и зарегистрировавших в Государственной корпорации заявления о назначении пенсионных выплат в связи с достижением пенсионного возраста согласно </w:t>
      </w:r>
      <w:r>
        <w:rPr>
          <w:rFonts w:ascii="Times New Roman"/>
          <w:b w:val="false"/>
          <w:i w:val="false"/>
          <w:color w:val="000000"/>
          <w:sz w:val="28"/>
        </w:rPr>
        <w:t>пункту 1</w:t>
      </w:r>
      <w:r>
        <w:rPr>
          <w:rFonts w:ascii="Times New Roman"/>
          <w:b w:val="false"/>
          <w:i w:val="false"/>
          <w:color w:val="000000"/>
          <w:sz w:val="28"/>
        </w:rPr>
        <w:t xml:space="preserve"> статьи 207 Кодекса;".</w:t>
      </w:r>
    </w:p>
    <w:bookmarkEnd w:id="19"/>
    <w:bookmarkStart w:name="z35" w:id="20"/>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0"/>
    <w:bookmarkStart w:name="z36" w:id="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
    <w:bookmarkStart w:name="z37" w:id="22"/>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w:t>
      </w:r>
    </w:p>
    <w:bookmarkEnd w:id="22"/>
    <w:bookmarkStart w:name="z38" w:id="2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3"/>
    <w:bookmarkStart w:name="z39" w:id="2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24"/>
    <w:bookmarkStart w:name="z40"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25"/>
    <w:bookmarkStart w:name="z41" w:id="26"/>
    <w:p>
      <w:pPr>
        <w:spacing w:after="0"/>
        <w:ind w:left="0"/>
        <w:jc w:val="both"/>
      </w:pPr>
      <w:r>
        <w:rPr>
          <w:rFonts w:ascii="Times New Roman"/>
          <w:b w:val="false"/>
          <w:i w:val="false"/>
          <w:color w:val="000000"/>
          <w:sz w:val="28"/>
        </w:rPr>
        <w:t>
      абзацев пятнадцать и шестнадцать пункта 1;</w:t>
      </w:r>
    </w:p>
    <w:bookmarkEnd w:id="26"/>
    <w:bookmarkStart w:name="z42" w:id="27"/>
    <w:p>
      <w:pPr>
        <w:spacing w:after="0"/>
        <w:ind w:left="0"/>
        <w:jc w:val="both"/>
      </w:pPr>
      <w:r>
        <w:rPr>
          <w:rFonts w:ascii="Times New Roman"/>
          <w:b w:val="false"/>
          <w:i w:val="false"/>
          <w:color w:val="000000"/>
          <w:sz w:val="28"/>
        </w:rPr>
        <w:t>
      подпункта 1) пункта 2 Правил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утвержденных настоящим приказом, которые вводятся в действие с 23 февраля 2024 года.</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44"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31 января 2024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485</w:t>
            </w:r>
          </w:p>
        </w:tc>
      </w:tr>
    </w:tbl>
    <w:bookmarkStart w:name="z49" w:id="31"/>
    <w:p>
      <w:pPr>
        <w:spacing w:after="0"/>
        <w:ind w:left="0"/>
        <w:jc w:val="left"/>
      </w:pPr>
      <w:r>
        <w:rPr>
          <w:rFonts w:ascii="Times New Roman"/>
          <w:b/>
          <w:i w:val="false"/>
          <w:color w:val="000000"/>
        </w:rPr>
        <w:t xml:space="preserve"> Правила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w:t>
      </w:r>
    </w:p>
    <w:bookmarkEnd w:id="31"/>
    <w:bookmarkStart w:name="z50" w:id="32"/>
    <w:p>
      <w:pPr>
        <w:spacing w:after="0"/>
        <w:ind w:left="0"/>
        <w:jc w:val="left"/>
      </w:pPr>
      <w:r>
        <w:rPr>
          <w:rFonts w:ascii="Times New Roman"/>
          <w:b/>
          <w:i w:val="false"/>
          <w:color w:val="000000"/>
        </w:rPr>
        <w:t xml:space="preserve"> Глава 1. Общие положения</w:t>
      </w:r>
    </w:p>
    <w:bookmarkEnd w:id="32"/>
    <w:bookmarkStart w:name="z51" w:id="33"/>
    <w:p>
      <w:pPr>
        <w:spacing w:after="0"/>
        <w:ind w:left="0"/>
        <w:jc w:val="both"/>
      </w:pPr>
      <w:r>
        <w:rPr>
          <w:rFonts w:ascii="Times New Roman"/>
          <w:b w:val="false"/>
          <w:i w:val="false"/>
          <w:color w:val="000000"/>
          <w:sz w:val="28"/>
        </w:rPr>
        <w:t xml:space="preserve">
      1. Настоящие Правила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(далее – Правила) разработаны в соответствии с </w:t>
      </w:r>
      <w:r>
        <w:rPr>
          <w:rFonts w:ascii="Times New Roman"/>
          <w:b w:val="false"/>
          <w:i w:val="false"/>
          <w:color w:val="000000"/>
          <w:sz w:val="28"/>
        </w:rPr>
        <w:t>подпунктом 125)</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w:t>
      </w:r>
    </w:p>
    <w:bookmarkEnd w:id="33"/>
    <w:bookmarkStart w:name="z52" w:id="3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4"/>
    <w:bookmarkStart w:name="z53" w:id="3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5"/>
    <w:bookmarkStart w:name="z54" w:id="36"/>
    <w:p>
      <w:pPr>
        <w:spacing w:after="0"/>
        <w:ind w:left="0"/>
        <w:jc w:val="both"/>
      </w:pPr>
      <w:r>
        <w:rPr>
          <w:rFonts w:ascii="Times New Roman"/>
          <w:b w:val="false"/>
          <w:i w:val="false"/>
          <w:color w:val="000000"/>
          <w:sz w:val="28"/>
        </w:rPr>
        <w:t>
      2) автоматизированная информационная система (далее – АИС) – организационно-упорядоченная совокупность информационно – 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36"/>
    <w:bookmarkStart w:name="z55" w:id="37"/>
    <w:p>
      <w:pPr>
        <w:spacing w:after="0"/>
        <w:ind w:left="0"/>
        <w:jc w:val="both"/>
      </w:pPr>
      <w:r>
        <w:rPr>
          <w:rFonts w:ascii="Times New Roman"/>
          <w:b w:val="false"/>
          <w:i w:val="false"/>
          <w:color w:val="000000"/>
          <w:sz w:val="28"/>
        </w:rPr>
        <w:t xml:space="preserve">
      3)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w:t>
      </w:r>
      <w:r>
        <w:rPr>
          <w:rFonts w:ascii="Times New Roman"/>
          <w:b w:val="false"/>
          <w:i w:val="false"/>
          <w:color w:val="000000"/>
          <w:sz w:val="28"/>
        </w:rPr>
        <w:t xml:space="preserve"> Кодексом (далее – Кодекс);</w:t>
      </w:r>
    </w:p>
    <w:bookmarkEnd w:id="37"/>
    <w:bookmarkStart w:name="z56" w:id="38"/>
    <w:p>
      <w:pPr>
        <w:spacing w:after="0"/>
        <w:ind w:left="0"/>
        <w:jc w:val="both"/>
      </w:pPr>
      <w:r>
        <w:rPr>
          <w:rFonts w:ascii="Times New Roman"/>
          <w:b w:val="false"/>
          <w:i w:val="false"/>
          <w:color w:val="000000"/>
          <w:sz w:val="28"/>
        </w:rPr>
        <w:t>
      4)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End w:id="38"/>
    <w:bookmarkStart w:name="z57" w:id="39"/>
    <w:p>
      <w:pPr>
        <w:spacing w:after="0"/>
        <w:ind w:left="0"/>
        <w:jc w:val="both"/>
      </w:pPr>
      <w:r>
        <w:rPr>
          <w:rFonts w:ascii="Times New Roman"/>
          <w:b w:val="false"/>
          <w:i w:val="false"/>
          <w:color w:val="000000"/>
          <w:sz w:val="28"/>
        </w:rPr>
        <w:t>
      5) обязательные пенсионные взносы (далее – ОПВ) – деньги, вносимые в соответствии с Кодексом в ЕНПФ в порядке, установленном законодательством Республики Казахстан;</w:t>
      </w:r>
    </w:p>
    <w:bookmarkEnd w:id="39"/>
    <w:bookmarkStart w:name="z58" w:id="40"/>
    <w:p>
      <w:pPr>
        <w:spacing w:after="0"/>
        <w:ind w:left="0"/>
        <w:jc w:val="both"/>
      </w:pPr>
      <w:r>
        <w:rPr>
          <w:rFonts w:ascii="Times New Roman"/>
          <w:b w:val="false"/>
          <w:i w:val="false"/>
          <w:color w:val="000000"/>
          <w:sz w:val="28"/>
        </w:rPr>
        <w:t>
      6) обязательные профессиональные пенсионные взносы (далее – ОППВ) –деньги, перечисленные агентами за счет собственных средств в ЕНПФ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40"/>
    <w:bookmarkStart w:name="z59" w:id="41"/>
    <w:p>
      <w:pPr>
        <w:spacing w:after="0"/>
        <w:ind w:left="0"/>
        <w:jc w:val="both"/>
      </w:pPr>
      <w:r>
        <w:rPr>
          <w:rFonts w:ascii="Times New Roman"/>
          <w:b w:val="false"/>
          <w:i w:val="false"/>
          <w:color w:val="000000"/>
          <w:sz w:val="28"/>
        </w:rPr>
        <w:t>
      7) база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 сведения, сформированные из Государственной базы данных "Физические лица" (далее - ГДБФЛ) и АИС "Организация обработки платежей" по перечисленным платежам по ОПВ, ОПВР, ОППВ;</w:t>
      </w:r>
    </w:p>
    <w:bookmarkEnd w:id="41"/>
    <w:bookmarkStart w:name="z60" w:id="42"/>
    <w:p>
      <w:pPr>
        <w:spacing w:after="0"/>
        <w:ind w:left="0"/>
        <w:jc w:val="both"/>
      </w:pPr>
      <w:r>
        <w:rPr>
          <w:rFonts w:ascii="Times New Roman"/>
          <w:b w:val="false"/>
          <w:i w:val="false"/>
          <w:color w:val="000000"/>
          <w:sz w:val="28"/>
        </w:rPr>
        <w:t>
      8) индивидуальный пенсионный счет (далее – ИПС) – личный именной счет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42"/>
    <w:bookmarkStart w:name="z61" w:id="43"/>
    <w:p>
      <w:pPr>
        <w:spacing w:after="0"/>
        <w:ind w:left="0"/>
        <w:jc w:val="both"/>
      </w:pPr>
      <w:r>
        <w:rPr>
          <w:rFonts w:ascii="Times New Roman"/>
          <w:b w:val="false"/>
          <w:i w:val="false"/>
          <w:color w:val="000000"/>
          <w:sz w:val="28"/>
        </w:rPr>
        <w:t>
      9) Государственная база данных физических лиц (далее – ГБДФЛ) – единая система регистрации и хранения информации о физических лицах Республики Казахстан, достаточной для идентификации и определения гражданского состояния;</w:t>
      </w:r>
    </w:p>
    <w:bookmarkEnd w:id="43"/>
    <w:bookmarkStart w:name="z62" w:id="44"/>
    <w:p>
      <w:pPr>
        <w:spacing w:after="0"/>
        <w:ind w:left="0"/>
        <w:jc w:val="both"/>
      </w:pPr>
      <w:r>
        <w:rPr>
          <w:rFonts w:ascii="Times New Roman"/>
          <w:b w:val="false"/>
          <w:i w:val="false"/>
          <w:color w:val="000000"/>
          <w:sz w:val="28"/>
        </w:rPr>
        <w:t>
      10) обязательные пенсионные взносы работодателя (далее – ОПВР)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44"/>
    <w:bookmarkStart w:name="z63" w:id="45"/>
    <w:p>
      <w:pPr>
        <w:spacing w:after="0"/>
        <w:ind w:left="0"/>
        <w:jc w:val="both"/>
      </w:pPr>
      <w:r>
        <w:rPr>
          <w:rFonts w:ascii="Times New Roman"/>
          <w:b w:val="false"/>
          <w:i w:val="false"/>
          <w:color w:val="000000"/>
          <w:sz w:val="28"/>
        </w:rPr>
        <w:t>
      11)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 (далее – ЦИО);</w:t>
      </w:r>
    </w:p>
    <w:bookmarkEnd w:id="45"/>
    <w:bookmarkStart w:name="z64" w:id="46"/>
    <w:p>
      <w:pPr>
        <w:spacing w:after="0"/>
        <w:ind w:left="0"/>
        <w:jc w:val="both"/>
      </w:pPr>
      <w:r>
        <w:rPr>
          <w:rFonts w:ascii="Times New Roman"/>
          <w:b w:val="false"/>
          <w:i w:val="false"/>
          <w:color w:val="000000"/>
          <w:sz w:val="28"/>
        </w:rPr>
        <w:t>
      12) АИС "Организация обработки платежей" (далее – АИС "ООП") – АИС, предназначенная для приема, обработки, формирования платежей по ОПВ, ОППВ;</w:t>
      </w:r>
    </w:p>
    <w:bookmarkEnd w:id="46"/>
    <w:bookmarkStart w:name="z65" w:id="47"/>
    <w:p>
      <w:pPr>
        <w:spacing w:after="0"/>
        <w:ind w:left="0"/>
        <w:jc w:val="both"/>
      </w:pPr>
      <w:r>
        <w:rPr>
          <w:rFonts w:ascii="Times New Roman"/>
          <w:b w:val="false"/>
          <w:i w:val="false"/>
          <w:color w:val="000000"/>
          <w:sz w:val="28"/>
        </w:rPr>
        <w:t>
      13) условный пенсионный счет (далее – УПС) – счет, открытый на имя физического лица в едином накопительном пенсионном фонде, на котором учитываются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End w:id="47"/>
    <w:bookmarkStart w:name="z66" w:id="48"/>
    <w:p>
      <w:pPr>
        <w:spacing w:after="0"/>
        <w:ind w:left="0"/>
        <w:jc w:val="both"/>
      </w:pPr>
      <w:r>
        <w:rPr>
          <w:rFonts w:ascii="Times New Roman"/>
          <w:b w:val="false"/>
          <w:i w:val="false"/>
          <w:color w:val="000000"/>
          <w:sz w:val="28"/>
        </w:rPr>
        <w:t>
      3. ЦИО, ЕНПФ, а также Государственная корпорация используют полученную информацию в целях взаимодействия и интеграции в рамках предоставленных полномочий, определенных законодательствами Республики Казахстан по социально-трудовой сфере, а также в сфере информатизации и информационной безопасности, путем заключения Соглашении о взаимодействии АИС ЦИО и ЕНПФ (далее – Соглашение).</w:t>
      </w:r>
    </w:p>
    <w:bookmarkEnd w:id="48"/>
    <w:bookmarkStart w:name="z67" w:id="49"/>
    <w:p>
      <w:pPr>
        <w:spacing w:after="0"/>
        <w:ind w:left="0"/>
        <w:jc w:val="left"/>
      </w:pPr>
      <w:r>
        <w:rPr>
          <w:rFonts w:ascii="Times New Roman"/>
          <w:b/>
          <w:i w:val="false"/>
          <w:color w:val="000000"/>
        </w:rPr>
        <w:t xml:space="preserve"> Глава 2. Порядок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w:t>
      </w:r>
    </w:p>
    <w:bookmarkEnd w:id="49"/>
    <w:bookmarkStart w:name="z68" w:id="50"/>
    <w:p>
      <w:pPr>
        <w:spacing w:after="0"/>
        <w:ind w:left="0"/>
        <w:jc w:val="both"/>
      </w:pPr>
      <w:r>
        <w:rPr>
          <w:rFonts w:ascii="Times New Roman"/>
          <w:b w:val="false"/>
          <w:i w:val="false"/>
          <w:color w:val="000000"/>
          <w:sz w:val="28"/>
        </w:rPr>
        <w:t>
      4. База данных физических лиц, за которых перечислены ОПВ, ОПВР, ОППВ формируется на основании сведений из ГБДФЛ и АИС "ООП" по физическим лицам, за которых перечислены ОПВ, ОПВР, ОППВ и содержит по каждому вкладчику (получателю) следующие данные:</w:t>
      </w:r>
    </w:p>
    <w:bookmarkEnd w:id="50"/>
    <w:bookmarkStart w:name="z69" w:id="51"/>
    <w:p>
      <w:pPr>
        <w:spacing w:after="0"/>
        <w:ind w:left="0"/>
        <w:jc w:val="both"/>
      </w:pPr>
      <w:r>
        <w:rPr>
          <w:rFonts w:ascii="Times New Roman"/>
          <w:b w:val="false"/>
          <w:i w:val="false"/>
          <w:color w:val="000000"/>
          <w:sz w:val="28"/>
        </w:rPr>
        <w:t>
      1) индивидуальный идентификационный номер;</w:t>
      </w:r>
    </w:p>
    <w:bookmarkEnd w:id="51"/>
    <w:bookmarkStart w:name="z70" w:id="52"/>
    <w:p>
      <w:pPr>
        <w:spacing w:after="0"/>
        <w:ind w:left="0"/>
        <w:jc w:val="both"/>
      </w:pPr>
      <w:r>
        <w:rPr>
          <w:rFonts w:ascii="Times New Roman"/>
          <w:b w:val="false"/>
          <w:i w:val="false"/>
          <w:color w:val="000000"/>
          <w:sz w:val="28"/>
        </w:rPr>
        <w:t>
      2) фамилия, имя, отчество (при его наличии), дата рождения, пол, гражданство;</w:t>
      </w:r>
    </w:p>
    <w:bookmarkEnd w:id="52"/>
    <w:bookmarkStart w:name="z71" w:id="53"/>
    <w:p>
      <w:pPr>
        <w:spacing w:after="0"/>
        <w:ind w:left="0"/>
        <w:jc w:val="both"/>
      </w:pPr>
      <w:r>
        <w:rPr>
          <w:rFonts w:ascii="Times New Roman"/>
          <w:b w:val="false"/>
          <w:i w:val="false"/>
          <w:color w:val="000000"/>
          <w:sz w:val="28"/>
        </w:rPr>
        <w:t>
      3) вид, серия, номер, дата и орган выдачи документа, удостоверяющего личность;</w:t>
      </w:r>
    </w:p>
    <w:bookmarkEnd w:id="53"/>
    <w:bookmarkStart w:name="z72" w:id="54"/>
    <w:p>
      <w:pPr>
        <w:spacing w:after="0"/>
        <w:ind w:left="0"/>
        <w:jc w:val="both"/>
      </w:pPr>
      <w:r>
        <w:rPr>
          <w:rFonts w:ascii="Times New Roman"/>
          <w:b w:val="false"/>
          <w:i w:val="false"/>
          <w:color w:val="000000"/>
          <w:sz w:val="28"/>
        </w:rPr>
        <w:t>
      4) об изменении номера и даты выдачи документа, удостоверяющего личность;</w:t>
      </w:r>
    </w:p>
    <w:bookmarkEnd w:id="54"/>
    <w:bookmarkStart w:name="z73" w:id="55"/>
    <w:p>
      <w:pPr>
        <w:spacing w:after="0"/>
        <w:ind w:left="0"/>
        <w:jc w:val="both"/>
      </w:pPr>
      <w:r>
        <w:rPr>
          <w:rFonts w:ascii="Times New Roman"/>
          <w:b w:val="false"/>
          <w:i w:val="false"/>
          <w:color w:val="000000"/>
          <w:sz w:val="28"/>
        </w:rPr>
        <w:t>
      5) об изменении реквизитов, гражданства, статуса вкладчика (получателя).</w:t>
      </w:r>
    </w:p>
    <w:bookmarkEnd w:id="55"/>
    <w:bookmarkStart w:name="z74" w:id="56"/>
    <w:p>
      <w:pPr>
        <w:spacing w:after="0"/>
        <w:ind w:left="0"/>
        <w:jc w:val="both"/>
      </w:pPr>
      <w:r>
        <w:rPr>
          <w:rFonts w:ascii="Times New Roman"/>
          <w:b w:val="false"/>
          <w:i w:val="false"/>
          <w:color w:val="000000"/>
          <w:sz w:val="28"/>
        </w:rPr>
        <w:t>
      5. База данных физических лиц, за которых перечислены ОПВ, ОПВР, ОППВ формируется с обновлением данных на ежедневной основе.</w:t>
      </w:r>
    </w:p>
    <w:bookmarkEnd w:id="56"/>
    <w:bookmarkStart w:name="z75" w:id="57"/>
    <w:p>
      <w:pPr>
        <w:spacing w:after="0"/>
        <w:ind w:left="0"/>
        <w:jc w:val="both"/>
      </w:pPr>
      <w:r>
        <w:rPr>
          <w:rFonts w:ascii="Times New Roman"/>
          <w:b w:val="false"/>
          <w:i w:val="false"/>
          <w:color w:val="000000"/>
          <w:sz w:val="28"/>
        </w:rPr>
        <w:t>
      6. АИС "ООП" ежедневно производит сверку персональных данных физических лиц в Базе данных физических лиц, за которых перечислены ОПВ, ОПВР, ОППВ со сведениями, имеющимися в ГБДФЛ и, при выявлении расхождений приводит их в соответствие с данными ГБДФЛ.</w:t>
      </w:r>
    </w:p>
    <w:bookmarkEnd w:id="57"/>
    <w:bookmarkStart w:name="z76" w:id="58"/>
    <w:p>
      <w:pPr>
        <w:spacing w:after="0"/>
        <w:ind w:left="0"/>
        <w:jc w:val="both"/>
      </w:pPr>
      <w:r>
        <w:rPr>
          <w:rFonts w:ascii="Times New Roman"/>
          <w:b w:val="false"/>
          <w:i w:val="false"/>
          <w:color w:val="000000"/>
          <w:sz w:val="28"/>
        </w:rPr>
        <w:t xml:space="preserve">
      7. При поступлении в Государственную корпорацию ОПВ, ОПВР, ОППВ, пени от агентов по уплате ОПВ, ОПВР, ОППВ,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а также физических лиц,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248 Кодекса, АИС "ООП" ежедневно производит сверку персональных данных физических лиц со сведениями, имеющимися в ГБДФЛ.</w:t>
      </w:r>
    </w:p>
    <w:bookmarkEnd w:id="58"/>
    <w:bookmarkStart w:name="z77" w:id="59"/>
    <w:p>
      <w:pPr>
        <w:spacing w:after="0"/>
        <w:ind w:left="0"/>
        <w:jc w:val="both"/>
      </w:pPr>
      <w:r>
        <w:rPr>
          <w:rFonts w:ascii="Times New Roman"/>
          <w:b w:val="false"/>
          <w:i w:val="false"/>
          <w:color w:val="000000"/>
          <w:sz w:val="28"/>
        </w:rPr>
        <w:t>
      При соответствии персональных данных физических лиц, за которых перечислены ОПВ, ОПВР, ОППВ с данными ГБДФЛ, в том числе наличия действующего(-их) документа(-ов), удостоверяющего(-их) личность, выданного(-ых) уполномоченным органом Республики Казахстан, принадлежности вкладчиков (получателей), не имеющих действующего(-их) документа(-ов), удостоверяющего(-их) личность, выданного(-ых) уполномоченным органом Республики Казахстан к гражданам государств-членов Евразийского экономического союза Государственная корпорация направляет в ЕНПФ сведения о перечисленных агентами ОПВ, ОПВР, ОППВ, пенях.</w:t>
      </w:r>
    </w:p>
    <w:bookmarkEnd w:id="59"/>
    <w:bookmarkStart w:name="z78" w:id="60"/>
    <w:p>
      <w:pPr>
        <w:spacing w:after="0"/>
        <w:ind w:left="0"/>
        <w:jc w:val="both"/>
      </w:pPr>
      <w:r>
        <w:rPr>
          <w:rFonts w:ascii="Times New Roman"/>
          <w:b w:val="false"/>
          <w:i w:val="false"/>
          <w:color w:val="000000"/>
          <w:sz w:val="28"/>
        </w:rPr>
        <w:t>
      При несоответствии персональных данных физических лиц, за которых перечислены ОПВ, ОПВР, ОППВ с данными ГБДФЛ, в том числе отсутствии действующих документов, удостоверяющих личность вкладчика (получателя), выданных уполномоченным органом Республики Казахстан, отсутствии принадлежности вкладчиков (получателей), не имеющих действующего(-их) документа(-ов), удостоверяющего(-их) личность, выданного(-ых) уполномоченным органом Республики Казахстан к гражданам государств-членов Евразийского экономического союза, наличии сведений о смерти вкладчика (получателя), смерть которого согласно сведениям, имеющимся в ГБДФЛ, наступила ранее периода, за который уплачиваются ОПВ, ОПВР, ОППВ, пени, Государственная корпорация осуществляет возврат агенту сумм ОПВ, ОПВР, ОППВ, пеней с указанием причины возврата, в электронном виде посредством АИС "ООП".</w:t>
      </w:r>
    </w:p>
    <w:bookmarkEnd w:id="60"/>
    <w:bookmarkStart w:name="z79" w:id="61"/>
    <w:p>
      <w:pPr>
        <w:spacing w:after="0"/>
        <w:ind w:left="0"/>
        <w:jc w:val="both"/>
      </w:pPr>
      <w:r>
        <w:rPr>
          <w:rFonts w:ascii="Times New Roman"/>
          <w:b w:val="false"/>
          <w:i w:val="false"/>
          <w:color w:val="000000"/>
          <w:sz w:val="28"/>
        </w:rPr>
        <w:t>
      8. Передача сведений об изменении персональных данных физических лиц, за которых перечислены ОПВ, ОПВР, ОППВ в ЕНПФ осуществляется электронным способом, определенным в Соглашении, заключаемом в целях организации информационного взаимодействия, не позднее одного рабочего дня, следующего за днем внесения изменений в Базе данных физических лиц, за которых перечислены ОПВ, ОПВР, ОППВ.</w:t>
      </w:r>
    </w:p>
    <w:bookmarkEnd w:id="61"/>
    <w:bookmarkStart w:name="z80" w:id="62"/>
    <w:p>
      <w:pPr>
        <w:spacing w:after="0"/>
        <w:ind w:left="0"/>
        <w:jc w:val="both"/>
      </w:pPr>
      <w:r>
        <w:rPr>
          <w:rFonts w:ascii="Times New Roman"/>
          <w:b w:val="false"/>
          <w:i w:val="false"/>
          <w:color w:val="000000"/>
          <w:sz w:val="28"/>
        </w:rPr>
        <w:t>
      9. Государственная корпорация совместно с ЕНПФ обеспечивает наличие у одного вкладчика (получателя) одного ИПС для учета ОПВ и (или) одного ИПС для учета ОППВ.</w:t>
      </w:r>
    </w:p>
    <w:bookmarkEnd w:id="62"/>
    <w:p>
      <w:pPr>
        <w:spacing w:after="0"/>
        <w:ind w:left="0"/>
        <w:jc w:val="both"/>
      </w:pPr>
      <w:r>
        <w:rPr>
          <w:rFonts w:ascii="Times New Roman"/>
          <w:b w:val="false"/>
          <w:i w:val="false"/>
          <w:color w:val="000000"/>
          <w:sz w:val="28"/>
        </w:rPr>
        <w:t>
      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