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6b1b" w14:textId="b41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района Бәйтерек</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27 сентября 2023 года № 8-8. Зарегистрирован в Департаменте юстиции Западно-Казахстанской области 4 октября 2023 года № 7254-07.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Бәйтерек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района Бәйтерек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27 сентября 2023 года №8-8</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Бәйтерек</w:t>
      </w:r>
    </w:p>
    <w:bookmarkEnd w:id="3"/>
    <w:p>
      <w:pPr>
        <w:spacing w:after="0"/>
        <w:ind w:left="0"/>
        <w:jc w:val="both"/>
      </w:pPr>
      <w:r>
        <w:rPr>
          <w:rFonts w:ascii="Times New Roman"/>
          <w:b w:val="false"/>
          <w:i w:val="false"/>
          <w:color w:val="ff0000"/>
          <w:sz w:val="28"/>
        </w:rPr>
        <w:t xml:space="preserve">
      Сноска. Правила - в редакции решения маслихата района Бәйтерек Западно-Казахстанской области от 29.04.2026 </w:t>
      </w:r>
      <w:r>
        <w:rPr>
          <w:rFonts w:ascii="Times New Roman"/>
          <w:b w:val="false"/>
          <w:i w:val="false"/>
          <w:color w:val="ff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bookmarkStart w:name="z9"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r>
        <w:rPr>
          <w:rFonts w:ascii="Times New Roman"/>
          <w:b w:val="false"/>
          <w:i w:val="false"/>
          <w:color w:val="000000"/>
          <w:sz w:val="28"/>
        </w:rPr>
        <w:t xml:space="preserve"> района Бәйтерек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4"/>
    <w:bookmarkStart w:name="z10"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Бәйтерек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(далее – уполномоченный орган) –государственное учреждение "Отдел занятости и социальных программ района Бәйтерек", осуществляющий оказание социальной помощи;</w:t>
      </w:r>
    </w:p>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6"/>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6"/>
    <w:bookmarkStart w:name="z12"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7"/>
    <w:bookmarkStart w:name="z13" w:id="8"/>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8"/>
    <w:bookmarkStart w:name="z14" w:id="9"/>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района Бәйтерек.</w:t>
      </w:r>
    </w:p>
    <w:bookmarkEnd w:id="9"/>
    <w:bookmarkStart w:name="z15" w:id="10"/>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0"/>
    <w:bookmarkStart w:name="z16"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7" w:id="12"/>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2"/>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8" w:id="1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и следующим категориям граждан:</w:t>
      </w:r>
    </w:p>
    <w:bookmarkEnd w:id="13"/>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1 500 000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xml:space="preserve">
      21) семьям военнослужащих, партизан, подпольщиков, лиц, указанным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детям с инвалидностью до 18 лет - в размере 20 000 (двадцать тысяч) тенге ко дню Республики Казахстан – 25 октября;</w:t>
      </w:r>
    </w:p>
    <w:p>
      <w:pPr>
        <w:spacing w:after="0"/>
        <w:ind w:left="0"/>
        <w:jc w:val="both"/>
      </w:pPr>
      <w:r>
        <w:rPr>
          <w:rFonts w:ascii="Times New Roman"/>
          <w:b w:val="false"/>
          <w:i w:val="false"/>
          <w:color w:val="000000"/>
          <w:sz w:val="28"/>
        </w:rPr>
        <w:t>
      Ко Дню Независимости - 16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 - в размере 200 000 (двести тысяч) тенге ко Дню Независимости - 16 декабря.</w:t>
      </w:r>
    </w:p>
    <w:bookmarkStart w:name="z19" w:id="14"/>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4"/>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лицам больным туберкулезом, находящимся на амбулаторном этапе лечения, согласно справки,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справки,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0" w:id="15"/>
    <w:p>
      <w:pPr>
        <w:spacing w:after="0"/>
        <w:ind w:left="0"/>
        <w:jc w:val="left"/>
      </w:pPr>
      <w:r>
        <w:rPr>
          <w:rFonts w:ascii="Times New Roman"/>
          <w:b/>
          <w:i w:val="false"/>
          <w:color w:val="000000"/>
        </w:rPr>
        <w:t xml:space="preserve"> Глава 3. Порядок оказания социальной помощи.</w:t>
      </w:r>
    </w:p>
    <w:bookmarkEnd w:id="15"/>
    <w:bookmarkStart w:name="z21" w:id="16"/>
    <w:p>
      <w:pPr>
        <w:spacing w:after="0"/>
        <w:ind w:left="0"/>
        <w:jc w:val="both"/>
      </w:pPr>
      <w:r>
        <w:rPr>
          <w:rFonts w:ascii="Times New Roman"/>
          <w:b w:val="false"/>
          <w:i w:val="false"/>
          <w:color w:val="000000"/>
          <w:sz w:val="28"/>
        </w:rPr>
        <w:t xml:space="preserve">
      11. Порядок оказания социальной помощи определяется согласно </w:t>
      </w:r>
      <w:r>
        <w:rPr>
          <w:rFonts w:ascii="Times New Roman"/>
          <w:b w:val="false"/>
          <w:i w:val="false"/>
          <w:color w:val="000000"/>
          <w:sz w:val="28"/>
        </w:rPr>
        <w:t>Типовых правил</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7"/>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3" w:id="18"/>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района Бәйтерек на текущий финансовый год.</w:t>
      </w:r>
    </w:p>
    <w:bookmarkEnd w:id="1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4" w:id="19"/>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9"/>
    <w:bookmarkStart w:name="z25" w:id="20"/>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